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F3" w:rsidRPr="00015FF3" w:rsidRDefault="00015FF3" w:rsidP="00015FF3">
      <w:pPr>
        <w:widowControl/>
        <w:spacing w:before="360"/>
        <w:ind w:right="-380"/>
        <w:jc w:val="center"/>
        <w:rPr>
          <w:b/>
          <w:snapToGrid/>
          <w:kern w:val="0"/>
          <w:sz w:val="24"/>
          <w:szCs w:val="24"/>
          <w:u w:val="single"/>
        </w:rPr>
      </w:pPr>
      <w:r w:rsidRPr="00015FF3">
        <w:rPr>
          <w:rFonts w:asciiTheme="minorHAnsi" w:eastAsiaTheme="minorHAnsi" w:hAnsiTheme="minorHAnsi" w:cstheme="minorBidi"/>
          <w:noProof/>
          <w:snapToGrid/>
          <w:kern w:val="0"/>
          <w:sz w:val="24"/>
          <w:szCs w:val="24"/>
        </w:rPr>
        <w:drawing>
          <wp:inline distT="0" distB="0" distL="0" distR="0" wp14:anchorId="45A09CCF" wp14:editId="3DAC8CFD">
            <wp:extent cx="2590800" cy="1133475"/>
            <wp:effectExtent l="0" t="0" r="0" b="0"/>
            <wp:docPr id="1" name="Picture 1" descr="C:\Users\Helena\AppData\Local\Microsoft\Windows\Temporary Internet Files\Content.Outlook\Q66I1CL8\RERC_transparentB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AppData\Local\Microsoft\Windows\Temporary Internet Files\Content.Outlook\Q66I1CL8\RERC_transparentBK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133475"/>
                    </a:xfrm>
                    <a:prstGeom prst="rect">
                      <a:avLst/>
                    </a:prstGeom>
                    <a:noFill/>
                    <a:ln>
                      <a:noFill/>
                    </a:ln>
                  </pic:spPr>
                </pic:pic>
              </a:graphicData>
            </a:graphic>
          </wp:inline>
        </w:drawing>
      </w:r>
    </w:p>
    <w:p w:rsidR="00015FF3" w:rsidRPr="00015FF3" w:rsidRDefault="00015FF3" w:rsidP="00015FF3">
      <w:pPr>
        <w:widowControl/>
        <w:spacing w:before="360"/>
        <w:ind w:right="-380"/>
        <w:rPr>
          <w:b/>
          <w:snapToGrid/>
          <w:kern w:val="0"/>
          <w:sz w:val="24"/>
          <w:szCs w:val="24"/>
          <w:u w:val="single"/>
        </w:rPr>
      </w:pPr>
      <w:r w:rsidRPr="00015FF3">
        <w:rPr>
          <w:b/>
          <w:snapToGrid/>
          <w:kern w:val="0"/>
          <w:sz w:val="24"/>
          <w:szCs w:val="24"/>
          <w:u w:val="single"/>
        </w:rPr>
        <w:t>VIA ECFS</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r w:rsidRPr="00015FF3">
        <w:rPr>
          <w:snapToGrid/>
          <w:kern w:val="0"/>
          <w:sz w:val="24"/>
          <w:szCs w:val="24"/>
        </w:rPr>
        <w:t>May 5, 2014</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r w:rsidRPr="00015FF3">
        <w:rPr>
          <w:snapToGrid/>
          <w:kern w:val="0"/>
          <w:sz w:val="24"/>
          <w:szCs w:val="24"/>
        </w:rPr>
        <w:t>Marlene H. Dortch, Secretary</w:t>
      </w:r>
    </w:p>
    <w:p w:rsidR="00015FF3" w:rsidRPr="00015FF3" w:rsidRDefault="00015FF3" w:rsidP="00015FF3">
      <w:pPr>
        <w:widowControl/>
        <w:rPr>
          <w:snapToGrid/>
          <w:kern w:val="0"/>
          <w:sz w:val="24"/>
          <w:szCs w:val="24"/>
        </w:rPr>
      </w:pPr>
      <w:r w:rsidRPr="00015FF3">
        <w:rPr>
          <w:snapToGrid/>
          <w:kern w:val="0"/>
          <w:sz w:val="24"/>
          <w:szCs w:val="24"/>
        </w:rPr>
        <w:t>Office of the Secretary</w:t>
      </w:r>
    </w:p>
    <w:p w:rsidR="00015FF3" w:rsidRPr="00015FF3" w:rsidRDefault="00015FF3" w:rsidP="00015FF3">
      <w:pPr>
        <w:widowControl/>
        <w:rPr>
          <w:snapToGrid/>
          <w:kern w:val="0"/>
          <w:sz w:val="24"/>
          <w:szCs w:val="24"/>
        </w:rPr>
      </w:pPr>
      <w:r w:rsidRPr="00015FF3">
        <w:rPr>
          <w:snapToGrid/>
          <w:kern w:val="0"/>
          <w:sz w:val="24"/>
          <w:szCs w:val="24"/>
        </w:rPr>
        <w:t>Federal Communications Commission</w:t>
      </w:r>
    </w:p>
    <w:p w:rsidR="00015FF3" w:rsidRPr="00015FF3" w:rsidRDefault="00015FF3" w:rsidP="00015FF3">
      <w:pPr>
        <w:widowControl/>
        <w:rPr>
          <w:snapToGrid/>
          <w:kern w:val="0"/>
          <w:sz w:val="24"/>
          <w:szCs w:val="24"/>
        </w:rPr>
      </w:pPr>
      <w:r w:rsidRPr="00015FF3">
        <w:rPr>
          <w:snapToGrid/>
          <w:kern w:val="0"/>
          <w:sz w:val="24"/>
          <w:szCs w:val="24"/>
        </w:rPr>
        <w:t>445 12</w:t>
      </w:r>
      <w:r w:rsidRPr="00015FF3">
        <w:rPr>
          <w:snapToGrid/>
          <w:kern w:val="0"/>
          <w:sz w:val="24"/>
          <w:szCs w:val="24"/>
          <w:vertAlign w:val="superscript"/>
        </w:rPr>
        <w:t>th</w:t>
      </w:r>
      <w:r w:rsidRPr="00015FF3">
        <w:rPr>
          <w:snapToGrid/>
          <w:kern w:val="0"/>
          <w:sz w:val="24"/>
          <w:szCs w:val="24"/>
        </w:rPr>
        <w:t xml:space="preserve"> Street, S.W.</w:t>
      </w:r>
    </w:p>
    <w:p w:rsidR="00015FF3" w:rsidRPr="00015FF3" w:rsidRDefault="00015FF3" w:rsidP="00015FF3">
      <w:pPr>
        <w:widowControl/>
        <w:rPr>
          <w:snapToGrid/>
          <w:kern w:val="0"/>
          <w:sz w:val="24"/>
          <w:szCs w:val="24"/>
        </w:rPr>
      </w:pPr>
      <w:r w:rsidRPr="00015FF3">
        <w:rPr>
          <w:snapToGrid/>
          <w:kern w:val="0"/>
          <w:sz w:val="24"/>
          <w:szCs w:val="24"/>
        </w:rPr>
        <w:t>TW-A325</w:t>
      </w:r>
    </w:p>
    <w:p w:rsidR="00015FF3" w:rsidRPr="00015FF3" w:rsidRDefault="00015FF3" w:rsidP="00015FF3">
      <w:pPr>
        <w:widowControl/>
        <w:rPr>
          <w:snapToGrid/>
          <w:kern w:val="0"/>
          <w:sz w:val="24"/>
          <w:szCs w:val="24"/>
        </w:rPr>
      </w:pPr>
      <w:r w:rsidRPr="00015FF3">
        <w:rPr>
          <w:snapToGrid/>
          <w:kern w:val="0"/>
          <w:sz w:val="24"/>
          <w:szCs w:val="24"/>
        </w:rPr>
        <w:t>Washington D.C.  20554</w:t>
      </w:r>
    </w:p>
    <w:p w:rsidR="00015FF3" w:rsidRPr="00015FF3" w:rsidRDefault="00015FF3" w:rsidP="00015FF3">
      <w:pPr>
        <w:widowControl/>
        <w:rPr>
          <w:snapToGrid/>
          <w:kern w:val="0"/>
          <w:sz w:val="24"/>
          <w:szCs w:val="24"/>
        </w:rPr>
      </w:pPr>
    </w:p>
    <w:p w:rsidR="00015FF3" w:rsidRPr="00015FF3" w:rsidRDefault="00015FF3" w:rsidP="00015FF3">
      <w:pPr>
        <w:suppressAutoHyphens/>
        <w:rPr>
          <w:b/>
          <w:szCs w:val="22"/>
        </w:rPr>
      </w:pPr>
      <w:r w:rsidRPr="00015FF3">
        <w:rPr>
          <w:b/>
          <w:spacing w:val="-2"/>
          <w:szCs w:val="22"/>
        </w:rPr>
        <w:t xml:space="preserve">Re:  In the Matter of </w:t>
      </w:r>
      <w:r w:rsidRPr="00015FF3">
        <w:rPr>
          <w:b/>
          <w:szCs w:val="22"/>
        </w:rPr>
        <w:t>Facilitating the Deployment of Text-to-911 and Other Next Generation 911 Applications Framework for Next Generation 911 Deployment</w:t>
      </w:r>
    </w:p>
    <w:p w:rsidR="00015FF3" w:rsidRDefault="00015FF3" w:rsidP="00015FF3">
      <w:pPr>
        <w:rPr>
          <w:b/>
          <w:snapToGrid/>
          <w:kern w:val="0"/>
          <w:sz w:val="24"/>
          <w:szCs w:val="24"/>
        </w:rPr>
      </w:pPr>
    </w:p>
    <w:p w:rsidR="00015FF3" w:rsidRPr="00015FF3" w:rsidRDefault="00015FF3" w:rsidP="00015FF3">
      <w:pPr>
        <w:widowControl/>
        <w:rPr>
          <w:snapToGrid/>
          <w:kern w:val="0"/>
          <w:sz w:val="24"/>
          <w:szCs w:val="24"/>
        </w:rPr>
      </w:pPr>
      <w:r w:rsidRPr="00015FF3">
        <w:rPr>
          <w:snapToGrid/>
          <w:kern w:val="0"/>
          <w:sz w:val="24"/>
          <w:szCs w:val="24"/>
        </w:rPr>
        <w:t>Dear Ms. Dortch:</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r w:rsidRPr="00015FF3">
        <w:rPr>
          <w:snapToGrid/>
          <w:kern w:val="0"/>
          <w:sz w:val="24"/>
          <w:szCs w:val="24"/>
        </w:rPr>
        <w:tab/>
        <w:t xml:space="preserve">Enclosed for filing in the above referenced </w:t>
      </w:r>
      <w:r w:rsidR="009E104F">
        <w:rPr>
          <w:snapToGrid/>
          <w:kern w:val="0"/>
          <w:sz w:val="24"/>
          <w:szCs w:val="24"/>
        </w:rPr>
        <w:t xml:space="preserve">Second </w:t>
      </w:r>
      <w:r w:rsidRPr="00015FF3">
        <w:rPr>
          <w:snapToGrid/>
          <w:kern w:val="0"/>
          <w:sz w:val="24"/>
          <w:szCs w:val="24"/>
        </w:rPr>
        <w:t xml:space="preserve">Further Notice of Proposed Rulemaking are reply comments of the Rehabilitation Engineering Research Center for Wireless Technologies (Wireless RERC). </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r w:rsidRPr="00015FF3">
        <w:rPr>
          <w:snapToGrid/>
          <w:kern w:val="0"/>
          <w:sz w:val="24"/>
          <w:szCs w:val="24"/>
        </w:rPr>
        <w:tab/>
        <w:t xml:space="preserve">Should you have any questions concerning this filing, please do not hesitate to contact me via email at </w:t>
      </w:r>
      <w:hyperlink r:id="rId10" w:history="1">
        <w:r w:rsidRPr="00015FF3">
          <w:rPr>
            <w:snapToGrid/>
            <w:color w:val="0000FF"/>
            <w:kern w:val="0"/>
            <w:sz w:val="24"/>
            <w:szCs w:val="24"/>
            <w:u w:val="single"/>
          </w:rPr>
          <w:t>helena.mitchell@cacp.gatech.edu</w:t>
        </w:r>
      </w:hyperlink>
      <w:r w:rsidRPr="00015FF3">
        <w:rPr>
          <w:snapToGrid/>
          <w:kern w:val="0"/>
          <w:sz w:val="24"/>
          <w:szCs w:val="24"/>
        </w:rPr>
        <w:t>.</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r w:rsidRPr="00015FF3">
        <w:rPr>
          <w:snapToGrid/>
          <w:kern w:val="0"/>
          <w:sz w:val="24"/>
          <w:szCs w:val="24"/>
        </w:rPr>
        <w:t>Respectfully submitted,</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r w:rsidRPr="00015FF3">
        <w:rPr>
          <w:noProof/>
          <w:snapToGrid/>
          <w:kern w:val="0"/>
          <w:sz w:val="24"/>
          <w:szCs w:val="24"/>
        </w:rPr>
        <w:drawing>
          <wp:inline distT="0" distB="0" distL="0" distR="0" wp14:anchorId="1FA98CF2" wp14:editId="4690DAE2">
            <wp:extent cx="1287780" cy="297180"/>
            <wp:effectExtent l="0" t="0" r="7620" b="7620"/>
            <wp:docPr id="2" name="Picture 2" descr="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297180"/>
                    </a:xfrm>
                    <a:prstGeom prst="rect">
                      <a:avLst/>
                    </a:prstGeom>
                    <a:noFill/>
                    <a:ln>
                      <a:noFill/>
                    </a:ln>
                  </pic:spPr>
                </pic:pic>
              </a:graphicData>
            </a:graphic>
          </wp:inline>
        </w:drawing>
      </w:r>
    </w:p>
    <w:p w:rsidR="00015FF3" w:rsidRPr="00015FF3" w:rsidRDefault="00015FF3" w:rsidP="00015FF3">
      <w:pPr>
        <w:widowControl/>
        <w:rPr>
          <w:snapToGrid/>
          <w:kern w:val="0"/>
          <w:sz w:val="24"/>
          <w:szCs w:val="24"/>
        </w:rPr>
      </w:pPr>
      <w:r w:rsidRPr="00015FF3">
        <w:rPr>
          <w:snapToGrid/>
          <w:kern w:val="0"/>
          <w:sz w:val="24"/>
          <w:szCs w:val="24"/>
        </w:rPr>
        <w:t>Helena Mitchell</w:t>
      </w:r>
    </w:p>
    <w:p w:rsidR="00015FF3" w:rsidRPr="00015FF3" w:rsidRDefault="00015FF3" w:rsidP="00015FF3">
      <w:pPr>
        <w:widowControl/>
        <w:rPr>
          <w:snapToGrid/>
          <w:kern w:val="0"/>
          <w:sz w:val="24"/>
          <w:szCs w:val="24"/>
        </w:rPr>
      </w:pPr>
      <w:r w:rsidRPr="00015FF3">
        <w:rPr>
          <w:snapToGrid/>
          <w:kern w:val="0"/>
          <w:sz w:val="24"/>
          <w:szCs w:val="24"/>
        </w:rPr>
        <w:t>Principal Investigator, Wireless RERC</w:t>
      </w:r>
    </w:p>
    <w:p w:rsidR="00015FF3" w:rsidRPr="00015FF3" w:rsidRDefault="00015FF3" w:rsidP="00015FF3">
      <w:pPr>
        <w:widowControl/>
        <w:rPr>
          <w:snapToGrid/>
          <w:kern w:val="0"/>
          <w:sz w:val="24"/>
          <w:szCs w:val="24"/>
        </w:rPr>
      </w:pPr>
      <w:r w:rsidRPr="00015FF3">
        <w:rPr>
          <w:snapToGrid/>
          <w:kern w:val="0"/>
          <w:sz w:val="24"/>
          <w:szCs w:val="24"/>
        </w:rPr>
        <w:t>Center for Advanced Communications Policy</w:t>
      </w:r>
    </w:p>
    <w:p w:rsidR="00015FF3" w:rsidRPr="00015FF3" w:rsidRDefault="00015FF3" w:rsidP="00015FF3">
      <w:pPr>
        <w:widowControl/>
        <w:rPr>
          <w:snapToGrid/>
          <w:kern w:val="0"/>
          <w:sz w:val="24"/>
          <w:szCs w:val="24"/>
        </w:rPr>
      </w:pPr>
      <w:r w:rsidRPr="00015FF3">
        <w:rPr>
          <w:snapToGrid/>
          <w:kern w:val="0"/>
          <w:sz w:val="24"/>
          <w:szCs w:val="24"/>
        </w:rPr>
        <w:t>Georgia Institute of Technology</w:t>
      </w:r>
    </w:p>
    <w:p w:rsidR="00015FF3" w:rsidRPr="00015FF3" w:rsidRDefault="00015FF3" w:rsidP="00015FF3">
      <w:pPr>
        <w:widowControl/>
        <w:rPr>
          <w:snapToGrid/>
          <w:kern w:val="0"/>
          <w:sz w:val="24"/>
          <w:szCs w:val="24"/>
        </w:rPr>
      </w:pPr>
    </w:p>
    <w:p w:rsidR="00015FF3" w:rsidRPr="00015FF3" w:rsidRDefault="00015FF3" w:rsidP="00015FF3">
      <w:pPr>
        <w:widowControl/>
        <w:rPr>
          <w:snapToGrid/>
          <w:kern w:val="0"/>
          <w:sz w:val="24"/>
          <w:szCs w:val="24"/>
        </w:rPr>
      </w:pPr>
    </w:p>
    <w:p w:rsidR="00015FF3" w:rsidRPr="00015FF3" w:rsidRDefault="00015FF3" w:rsidP="00015FF3">
      <w:r w:rsidRPr="00015FF3">
        <w:rPr>
          <w:snapToGrid/>
          <w:kern w:val="0"/>
          <w:sz w:val="24"/>
          <w:szCs w:val="24"/>
        </w:rPr>
        <w:t>Enclosure</w:t>
      </w:r>
    </w:p>
    <w:p w:rsidR="00015FF3" w:rsidRPr="00015FF3" w:rsidRDefault="00015FF3" w:rsidP="00015FF3">
      <w:pPr>
        <w:jc w:val="center"/>
      </w:pPr>
    </w:p>
    <w:p w:rsidR="00015FF3" w:rsidRPr="00015FF3" w:rsidRDefault="00015FF3" w:rsidP="00015FF3">
      <w:pPr>
        <w:jc w:val="center"/>
      </w:pPr>
    </w:p>
    <w:p w:rsidR="00015FF3" w:rsidRPr="00015FF3" w:rsidRDefault="00015FF3" w:rsidP="00015FF3">
      <w:pPr>
        <w:jc w:val="center"/>
      </w:pPr>
    </w:p>
    <w:p w:rsidR="00015FF3" w:rsidRDefault="00015FF3" w:rsidP="00015FF3">
      <w:pPr>
        <w:jc w:val="center"/>
        <w:rPr>
          <w:b/>
        </w:rPr>
      </w:pPr>
    </w:p>
    <w:p w:rsidR="009E104F" w:rsidRPr="00DD7810" w:rsidRDefault="009E104F" w:rsidP="009E104F">
      <w:pPr>
        <w:jc w:val="center"/>
        <w:rPr>
          <w:b/>
          <w:sz w:val="24"/>
          <w:szCs w:val="24"/>
        </w:rPr>
      </w:pPr>
      <w:r w:rsidRPr="00DD7810">
        <w:rPr>
          <w:b/>
          <w:kern w:val="0"/>
          <w:sz w:val="24"/>
          <w:szCs w:val="24"/>
        </w:rPr>
        <w:t>Before</w:t>
      </w:r>
      <w:r w:rsidRPr="00DD7810">
        <w:rPr>
          <w:b/>
          <w:sz w:val="24"/>
          <w:szCs w:val="24"/>
        </w:rPr>
        <w:t xml:space="preserve"> the</w:t>
      </w:r>
    </w:p>
    <w:p w:rsidR="009E104F" w:rsidRPr="00DD7810" w:rsidRDefault="009E104F" w:rsidP="009E104F">
      <w:pPr>
        <w:pStyle w:val="StyleBoldCentered"/>
        <w:rPr>
          <w:rFonts w:ascii="Times New Roman" w:hAnsi="Times New Roman"/>
          <w:sz w:val="24"/>
          <w:szCs w:val="24"/>
        </w:rPr>
      </w:pPr>
      <w:r w:rsidRPr="00DD7810">
        <w:rPr>
          <w:rFonts w:ascii="Times New Roman" w:hAnsi="Times New Roman"/>
          <w:sz w:val="24"/>
          <w:szCs w:val="24"/>
        </w:rPr>
        <w:t>F</w:t>
      </w:r>
      <w:r w:rsidRPr="00DD7810">
        <w:rPr>
          <w:rFonts w:ascii="Times New Roman" w:hAnsi="Times New Roman"/>
          <w:caps w:val="0"/>
          <w:sz w:val="24"/>
          <w:szCs w:val="24"/>
        </w:rPr>
        <w:t>ederal Communications Commission</w:t>
      </w:r>
    </w:p>
    <w:p w:rsidR="009E104F" w:rsidRPr="00DD7810" w:rsidRDefault="009E104F" w:rsidP="009E104F">
      <w:pPr>
        <w:pStyle w:val="StyleBoldCentered"/>
        <w:rPr>
          <w:rFonts w:ascii="Times New Roman" w:hAnsi="Times New Roman"/>
          <w:sz w:val="24"/>
          <w:szCs w:val="24"/>
        </w:rPr>
      </w:pPr>
      <w:r w:rsidRPr="00DD7810">
        <w:rPr>
          <w:rFonts w:ascii="Times New Roman" w:hAnsi="Times New Roman"/>
          <w:caps w:val="0"/>
          <w:sz w:val="24"/>
          <w:szCs w:val="24"/>
        </w:rPr>
        <w:lastRenderedPageBreak/>
        <w:t>Washington</w:t>
      </w:r>
      <w:r w:rsidRPr="00DD7810">
        <w:rPr>
          <w:rFonts w:ascii="Times New Roman" w:hAnsi="Times New Roman"/>
          <w:sz w:val="24"/>
          <w:szCs w:val="24"/>
        </w:rPr>
        <w:t>, D.C. 20554</w:t>
      </w:r>
    </w:p>
    <w:p w:rsidR="009E104F" w:rsidRPr="00DD7810" w:rsidRDefault="009E104F" w:rsidP="009E104F">
      <w:pPr>
        <w:rPr>
          <w:sz w:val="24"/>
          <w:szCs w:val="24"/>
        </w:rPr>
      </w:pPr>
    </w:p>
    <w:p w:rsidR="009E104F" w:rsidRPr="00DD7810" w:rsidRDefault="009E104F" w:rsidP="009E104F">
      <w:pPr>
        <w:rPr>
          <w:sz w:val="24"/>
          <w:szCs w:val="24"/>
        </w:rPr>
      </w:pPr>
    </w:p>
    <w:tbl>
      <w:tblPr>
        <w:tblW w:w="0" w:type="auto"/>
        <w:tblLayout w:type="fixed"/>
        <w:tblLook w:val="0000" w:firstRow="0" w:lastRow="0" w:firstColumn="0" w:lastColumn="0" w:noHBand="0" w:noVBand="0"/>
      </w:tblPr>
      <w:tblGrid>
        <w:gridCol w:w="4698"/>
        <w:gridCol w:w="630"/>
        <w:gridCol w:w="4248"/>
      </w:tblGrid>
      <w:tr w:rsidR="009E104F" w:rsidRPr="00DD7810" w:rsidTr="004D4214">
        <w:tc>
          <w:tcPr>
            <w:tcW w:w="4698" w:type="dxa"/>
          </w:tcPr>
          <w:p w:rsidR="009E104F" w:rsidRPr="00DD7810" w:rsidRDefault="009E104F" w:rsidP="004D4214">
            <w:pPr>
              <w:suppressAutoHyphens/>
              <w:rPr>
                <w:spacing w:val="-2"/>
                <w:sz w:val="24"/>
                <w:szCs w:val="24"/>
              </w:rPr>
            </w:pPr>
            <w:r w:rsidRPr="00DD7810">
              <w:rPr>
                <w:spacing w:val="-2"/>
                <w:sz w:val="24"/>
                <w:szCs w:val="24"/>
              </w:rPr>
              <w:t>In the Matter of</w:t>
            </w:r>
          </w:p>
          <w:p w:rsidR="009E104F" w:rsidRPr="00DD7810" w:rsidRDefault="009E104F" w:rsidP="004D4214">
            <w:pPr>
              <w:suppressAutoHyphens/>
              <w:rPr>
                <w:spacing w:val="-2"/>
                <w:sz w:val="24"/>
                <w:szCs w:val="24"/>
              </w:rPr>
            </w:pPr>
          </w:p>
          <w:p w:rsidR="009E104F" w:rsidRPr="00DD7810" w:rsidRDefault="009E104F" w:rsidP="004D4214">
            <w:pPr>
              <w:ind w:right="-18"/>
              <w:rPr>
                <w:sz w:val="24"/>
                <w:szCs w:val="24"/>
              </w:rPr>
            </w:pPr>
            <w:r w:rsidRPr="00DD7810">
              <w:rPr>
                <w:sz w:val="24"/>
                <w:szCs w:val="24"/>
              </w:rPr>
              <w:t>Facilitating the Deployment of Text-to-911 and Other Next Generation 911 Applications</w:t>
            </w:r>
          </w:p>
          <w:p w:rsidR="009E104F" w:rsidRPr="00DD7810" w:rsidRDefault="009E104F" w:rsidP="004D4214">
            <w:pPr>
              <w:ind w:right="-18"/>
              <w:rPr>
                <w:sz w:val="24"/>
                <w:szCs w:val="24"/>
              </w:rPr>
            </w:pPr>
          </w:p>
          <w:p w:rsidR="009E104F" w:rsidRPr="00DD7810" w:rsidRDefault="009E104F" w:rsidP="004D4214">
            <w:pPr>
              <w:ind w:right="-18"/>
              <w:rPr>
                <w:sz w:val="24"/>
                <w:szCs w:val="24"/>
              </w:rPr>
            </w:pPr>
            <w:r w:rsidRPr="00DD7810">
              <w:rPr>
                <w:sz w:val="24"/>
                <w:szCs w:val="24"/>
              </w:rPr>
              <w:t>Framework for Next Generation 911 Deployment</w:t>
            </w:r>
          </w:p>
          <w:p w:rsidR="009E104F" w:rsidRPr="00DD7810" w:rsidRDefault="009E104F" w:rsidP="004D4214">
            <w:pPr>
              <w:suppressAutoHyphens/>
              <w:rPr>
                <w:spacing w:val="-2"/>
                <w:sz w:val="24"/>
                <w:szCs w:val="24"/>
              </w:rPr>
            </w:pPr>
          </w:p>
        </w:tc>
        <w:tc>
          <w:tcPr>
            <w:tcW w:w="630" w:type="dxa"/>
          </w:tcPr>
          <w:p w:rsidR="009E104F" w:rsidRPr="00DD7810" w:rsidRDefault="009E104F" w:rsidP="004D4214">
            <w:pPr>
              <w:suppressAutoHyphens/>
              <w:rPr>
                <w:b/>
                <w:spacing w:val="-2"/>
                <w:sz w:val="24"/>
                <w:szCs w:val="24"/>
              </w:rPr>
            </w:pPr>
            <w:r w:rsidRPr="00DD7810">
              <w:rPr>
                <w:b/>
                <w:spacing w:val="-2"/>
                <w:sz w:val="24"/>
                <w:szCs w:val="24"/>
              </w:rPr>
              <w:t>)</w:t>
            </w:r>
          </w:p>
          <w:p w:rsidR="009E104F" w:rsidRPr="00DD7810" w:rsidRDefault="009E104F" w:rsidP="004D4214">
            <w:pPr>
              <w:suppressAutoHyphens/>
              <w:rPr>
                <w:b/>
                <w:spacing w:val="-2"/>
                <w:sz w:val="24"/>
                <w:szCs w:val="24"/>
              </w:rPr>
            </w:pPr>
            <w:r w:rsidRPr="00DD7810">
              <w:rPr>
                <w:b/>
                <w:spacing w:val="-2"/>
                <w:sz w:val="24"/>
                <w:szCs w:val="24"/>
              </w:rPr>
              <w:t>)</w:t>
            </w:r>
          </w:p>
          <w:p w:rsidR="009E104F" w:rsidRPr="00DD7810" w:rsidRDefault="009E104F" w:rsidP="004D4214">
            <w:pPr>
              <w:suppressAutoHyphens/>
              <w:rPr>
                <w:b/>
                <w:spacing w:val="-2"/>
                <w:sz w:val="24"/>
                <w:szCs w:val="24"/>
              </w:rPr>
            </w:pPr>
            <w:r w:rsidRPr="00DD7810">
              <w:rPr>
                <w:b/>
                <w:spacing w:val="-2"/>
                <w:sz w:val="24"/>
                <w:szCs w:val="24"/>
              </w:rPr>
              <w:t>)</w:t>
            </w:r>
          </w:p>
          <w:p w:rsidR="009E104F" w:rsidRPr="00DD7810" w:rsidRDefault="009E104F" w:rsidP="004D4214">
            <w:pPr>
              <w:suppressAutoHyphens/>
              <w:rPr>
                <w:b/>
                <w:spacing w:val="-2"/>
                <w:sz w:val="24"/>
                <w:szCs w:val="24"/>
              </w:rPr>
            </w:pPr>
            <w:r w:rsidRPr="00DD7810">
              <w:rPr>
                <w:b/>
                <w:spacing w:val="-2"/>
                <w:sz w:val="24"/>
                <w:szCs w:val="24"/>
              </w:rPr>
              <w:t>)</w:t>
            </w:r>
          </w:p>
          <w:p w:rsidR="009E104F" w:rsidRPr="00DD7810" w:rsidRDefault="009E104F" w:rsidP="004D4214">
            <w:pPr>
              <w:suppressAutoHyphens/>
              <w:rPr>
                <w:b/>
                <w:spacing w:val="-2"/>
                <w:sz w:val="24"/>
                <w:szCs w:val="24"/>
              </w:rPr>
            </w:pPr>
            <w:r w:rsidRPr="00DD7810">
              <w:rPr>
                <w:b/>
                <w:spacing w:val="-2"/>
                <w:sz w:val="24"/>
                <w:szCs w:val="24"/>
              </w:rPr>
              <w:t>)</w:t>
            </w:r>
          </w:p>
          <w:p w:rsidR="009E104F" w:rsidRPr="00DD7810" w:rsidRDefault="009E104F" w:rsidP="004D4214">
            <w:pPr>
              <w:suppressAutoHyphens/>
              <w:rPr>
                <w:b/>
                <w:spacing w:val="-2"/>
                <w:sz w:val="24"/>
                <w:szCs w:val="24"/>
              </w:rPr>
            </w:pPr>
            <w:r w:rsidRPr="00DD7810">
              <w:rPr>
                <w:b/>
                <w:spacing w:val="-2"/>
                <w:sz w:val="24"/>
                <w:szCs w:val="24"/>
              </w:rPr>
              <w:t>)</w:t>
            </w:r>
          </w:p>
          <w:p w:rsidR="009E104F" w:rsidRPr="00DD7810" w:rsidRDefault="009E104F" w:rsidP="004D4214">
            <w:pPr>
              <w:suppressAutoHyphens/>
              <w:rPr>
                <w:b/>
                <w:spacing w:val="-2"/>
                <w:sz w:val="24"/>
                <w:szCs w:val="24"/>
              </w:rPr>
            </w:pPr>
          </w:p>
          <w:p w:rsidR="009E104F" w:rsidRPr="00DD7810" w:rsidRDefault="009E104F" w:rsidP="004D4214">
            <w:pPr>
              <w:suppressAutoHyphens/>
              <w:rPr>
                <w:spacing w:val="-2"/>
                <w:sz w:val="24"/>
                <w:szCs w:val="24"/>
              </w:rPr>
            </w:pPr>
          </w:p>
        </w:tc>
        <w:tc>
          <w:tcPr>
            <w:tcW w:w="4248" w:type="dxa"/>
          </w:tcPr>
          <w:p w:rsidR="009E104F" w:rsidRPr="00DD7810" w:rsidRDefault="009E104F" w:rsidP="004D4214">
            <w:pPr>
              <w:suppressAutoHyphens/>
              <w:rPr>
                <w:spacing w:val="-2"/>
                <w:sz w:val="24"/>
                <w:szCs w:val="24"/>
              </w:rPr>
            </w:pPr>
          </w:p>
          <w:p w:rsidR="009E104F" w:rsidRPr="00DD7810" w:rsidRDefault="009E104F" w:rsidP="004D4214">
            <w:pPr>
              <w:pStyle w:val="TOAHeading"/>
              <w:tabs>
                <w:tab w:val="clear" w:pos="9360"/>
              </w:tabs>
              <w:rPr>
                <w:spacing w:val="-2"/>
                <w:sz w:val="24"/>
                <w:szCs w:val="24"/>
              </w:rPr>
            </w:pPr>
          </w:p>
          <w:p w:rsidR="009E104F" w:rsidRPr="00DD7810" w:rsidRDefault="009E104F" w:rsidP="004D4214">
            <w:pPr>
              <w:rPr>
                <w:sz w:val="24"/>
                <w:szCs w:val="24"/>
              </w:rPr>
            </w:pPr>
            <w:r w:rsidRPr="00DD7810">
              <w:rPr>
                <w:sz w:val="24"/>
                <w:szCs w:val="24"/>
              </w:rPr>
              <w:t>PS Docket No. 11-153</w:t>
            </w:r>
          </w:p>
          <w:p w:rsidR="009E104F" w:rsidRPr="00DD7810" w:rsidRDefault="009E104F" w:rsidP="004D4214">
            <w:pPr>
              <w:rPr>
                <w:sz w:val="24"/>
                <w:szCs w:val="24"/>
              </w:rPr>
            </w:pPr>
          </w:p>
          <w:p w:rsidR="009E104F" w:rsidRPr="00DD7810" w:rsidRDefault="009E104F" w:rsidP="004D4214">
            <w:pPr>
              <w:rPr>
                <w:sz w:val="24"/>
                <w:szCs w:val="24"/>
              </w:rPr>
            </w:pPr>
          </w:p>
          <w:p w:rsidR="009E104F" w:rsidRPr="00DD7810" w:rsidRDefault="009E104F" w:rsidP="004D4214">
            <w:pPr>
              <w:suppressAutoHyphens/>
              <w:rPr>
                <w:spacing w:val="-2"/>
                <w:sz w:val="24"/>
                <w:szCs w:val="24"/>
              </w:rPr>
            </w:pPr>
            <w:r w:rsidRPr="00DD7810">
              <w:rPr>
                <w:sz w:val="24"/>
                <w:szCs w:val="24"/>
              </w:rPr>
              <w:t>PS Docket No. 10-255</w:t>
            </w:r>
          </w:p>
        </w:tc>
      </w:tr>
    </w:tbl>
    <w:p w:rsidR="009E104F" w:rsidRPr="009E104F" w:rsidRDefault="009E104F" w:rsidP="009E104F">
      <w:pPr>
        <w:widowControl/>
        <w:jc w:val="center"/>
        <w:rPr>
          <w:snapToGrid/>
          <w:kern w:val="0"/>
          <w:sz w:val="24"/>
          <w:szCs w:val="24"/>
        </w:rPr>
      </w:pPr>
      <w:r w:rsidRPr="009E104F">
        <w:rPr>
          <w:snapToGrid/>
          <w:kern w:val="0"/>
          <w:sz w:val="24"/>
          <w:szCs w:val="24"/>
        </w:rPr>
        <w:t>COMMENTS OF</w:t>
      </w:r>
    </w:p>
    <w:p w:rsidR="009E104F" w:rsidRPr="009E104F" w:rsidRDefault="009E104F" w:rsidP="009E104F">
      <w:pPr>
        <w:widowControl/>
        <w:jc w:val="center"/>
        <w:rPr>
          <w:snapToGrid/>
          <w:kern w:val="0"/>
          <w:sz w:val="24"/>
          <w:szCs w:val="24"/>
        </w:rPr>
      </w:pPr>
      <w:r w:rsidRPr="009E104F">
        <w:rPr>
          <w:snapToGrid/>
          <w:kern w:val="0"/>
          <w:sz w:val="24"/>
          <w:szCs w:val="24"/>
        </w:rPr>
        <w:t>REHABILITATION ENGINEEERING RESEARCH CENTER FOR</w:t>
      </w:r>
    </w:p>
    <w:p w:rsidR="009E104F" w:rsidRPr="009E104F" w:rsidRDefault="009E104F" w:rsidP="009E104F">
      <w:pPr>
        <w:widowControl/>
        <w:jc w:val="center"/>
        <w:rPr>
          <w:snapToGrid/>
          <w:kern w:val="0"/>
          <w:sz w:val="24"/>
          <w:szCs w:val="24"/>
        </w:rPr>
      </w:pPr>
      <w:r w:rsidRPr="009E104F">
        <w:rPr>
          <w:snapToGrid/>
          <w:kern w:val="0"/>
          <w:sz w:val="24"/>
          <w:szCs w:val="24"/>
        </w:rPr>
        <w:t>WIRELESS TECHNOLOGIES (WIRELESS RERC)</w:t>
      </w:r>
    </w:p>
    <w:p w:rsidR="009E104F" w:rsidRPr="009E104F" w:rsidRDefault="009E104F" w:rsidP="009E104F">
      <w:pPr>
        <w:rPr>
          <w:spacing w:val="-2"/>
        </w:rPr>
      </w:pPr>
    </w:p>
    <w:p w:rsidR="009E104F" w:rsidRPr="009E104F" w:rsidRDefault="009E104F" w:rsidP="009E104F">
      <w:pPr>
        <w:tabs>
          <w:tab w:val="left" w:pos="-720"/>
        </w:tabs>
        <w:suppressAutoHyphens/>
        <w:spacing w:line="225" w:lineRule="auto"/>
        <w:rPr>
          <w:b/>
          <w:spacing w:val="-2"/>
          <w:sz w:val="24"/>
          <w:szCs w:val="24"/>
        </w:rPr>
      </w:pPr>
      <w:r w:rsidRPr="009E104F">
        <w:rPr>
          <w:b/>
          <w:spacing w:val="-2"/>
          <w:sz w:val="24"/>
          <w:szCs w:val="24"/>
        </w:rPr>
        <w:t>INTRODUCTION</w:t>
      </w:r>
    </w:p>
    <w:p w:rsidR="009E104F" w:rsidRPr="009E104F" w:rsidRDefault="009E104F" w:rsidP="009E104F">
      <w:pPr>
        <w:tabs>
          <w:tab w:val="left" w:pos="-720"/>
        </w:tabs>
        <w:suppressAutoHyphens/>
        <w:spacing w:line="225" w:lineRule="auto"/>
        <w:rPr>
          <w:spacing w:val="-2"/>
          <w:sz w:val="24"/>
          <w:szCs w:val="24"/>
        </w:rPr>
      </w:pPr>
    </w:p>
    <w:p w:rsidR="001575DD" w:rsidRDefault="009E104F" w:rsidP="000A34BD">
      <w:pPr>
        <w:spacing w:line="480" w:lineRule="auto"/>
        <w:rPr>
          <w:sz w:val="24"/>
          <w:szCs w:val="24"/>
        </w:rPr>
      </w:pPr>
      <w:r w:rsidRPr="009E104F">
        <w:rPr>
          <w:sz w:val="24"/>
          <w:szCs w:val="24"/>
        </w:rPr>
        <w:t>The Rehabilitation Engineering Research Center for Wireless Technologies (Wireless RERC)</w:t>
      </w:r>
      <w:r w:rsidR="009407C8">
        <w:rPr>
          <w:sz w:val="24"/>
          <w:szCs w:val="24"/>
        </w:rPr>
        <w:t xml:space="preserve"> </w:t>
      </w:r>
      <w:r w:rsidRPr="009E104F">
        <w:rPr>
          <w:sz w:val="24"/>
          <w:szCs w:val="24"/>
        </w:rPr>
        <w:t xml:space="preserve">hereby submits reply comments to the above-referenced </w:t>
      </w:r>
      <w:r w:rsidR="00DD7810">
        <w:rPr>
          <w:sz w:val="24"/>
          <w:szCs w:val="24"/>
        </w:rPr>
        <w:t xml:space="preserve">Second </w:t>
      </w:r>
      <w:r w:rsidRPr="009E104F">
        <w:rPr>
          <w:sz w:val="24"/>
          <w:szCs w:val="24"/>
        </w:rPr>
        <w:t>Further Notice of Proposed Rulemaking,</w:t>
      </w:r>
      <w:r w:rsidR="00DD7810">
        <w:rPr>
          <w:sz w:val="24"/>
          <w:szCs w:val="24"/>
        </w:rPr>
        <w:t xml:space="preserve"> </w:t>
      </w:r>
      <w:r w:rsidRPr="009E104F">
        <w:rPr>
          <w:sz w:val="24"/>
          <w:szCs w:val="24"/>
        </w:rPr>
        <w:t xml:space="preserve">released on </w:t>
      </w:r>
      <w:r>
        <w:rPr>
          <w:sz w:val="24"/>
          <w:szCs w:val="24"/>
        </w:rPr>
        <w:t xml:space="preserve">January </w:t>
      </w:r>
      <w:r w:rsidR="00DD7810">
        <w:rPr>
          <w:sz w:val="24"/>
          <w:szCs w:val="24"/>
        </w:rPr>
        <w:t>3</w:t>
      </w:r>
      <w:r>
        <w:rPr>
          <w:sz w:val="24"/>
          <w:szCs w:val="24"/>
        </w:rPr>
        <w:t>1</w:t>
      </w:r>
      <w:r w:rsidRPr="009E104F">
        <w:rPr>
          <w:sz w:val="24"/>
          <w:szCs w:val="24"/>
        </w:rPr>
        <w:t>, 2014.  The Wireless RERC</w:t>
      </w:r>
      <w:r w:rsidRPr="009E104F">
        <w:rPr>
          <w:sz w:val="24"/>
          <w:szCs w:val="24"/>
          <w:vertAlign w:val="superscript"/>
        </w:rPr>
        <w:footnoteReference w:id="1"/>
      </w:r>
      <w:r w:rsidRPr="009E104F">
        <w:rPr>
          <w:sz w:val="24"/>
          <w:szCs w:val="24"/>
        </w:rPr>
        <w:t xml:space="preserve"> mission is to research, evaluate and develop</w:t>
      </w:r>
      <w:r w:rsidR="00DD7810">
        <w:rPr>
          <w:sz w:val="24"/>
          <w:szCs w:val="24"/>
        </w:rPr>
        <w:t xml:space="preserve"> </w:t>
      </w:r>
      <w:r w:rsidRPr="009E104F">
        <w:rPr>
          <w:sz w:val="24"/>
          <w:szCs w:val="24"/>
        </w:rPr>
        <w:t>innovative wireless technologies and products that meet the needs, enhance independence and</w:t>
      </w:r>
      <w:r w:rsidR="00DD7810">
        <w:rPr>
          <w:sz w:val="24"/>
          <w:szCs w:val="24"/>
        </w:rPr>
        <w:t xml:space="preserve"> </w:t>
      </w:r>
      <w:r w:rsidRPr="009E104F">
        <w:rPr>
          <w:sz w:val="24"/>
          <w:szCs w:val="24"/>
        </w:rPr>
        <w:t xml:space="preserve">improve the quality of life and community participation of people with disabilities.  </w:t>
      </w:r>
      <w:r w:rsidR="001575DD" w:rsidRPr="00A23B18">
        <w:rPr>
          <w:sz w:val="24"/>
          <w:szCs w:val="24"/>
        </w:rPr>
        <w:t xml:space="preserve">As such, we are pleased that the FCC is taking steps to </w:t>
      </w:r>
      <w:r w:rsidR="001575DD">
        <w:rPr>
          <w:sz w:val="24"/>
          <w:szCs w:val="24"/>
        </w:rPr>
        <w:t>codify</w:t>
      </w:r>
      <w:r w:rsidR="001575DD" w:rsidRPr="00A23B18">
        <w:rPr>
          <w:sz w:val="24"/>
          <w:szCs w:val="24"/>
        </w:rPr>
        <w:t xml:space="preserve"> </w:t>
      </w:r>
      <w:r w:rsidR="001575DD">
        <w:rPr>
          <w:sz w:val="24"/>
          <w:szCs w:val="24"/>
        </w:rPr>
        <w:t xml:space="preserve">disability </w:t>
      </w:r>
      <w:r w:rsidR="001575DD" w:rsidRPr="00A23B18">
        <w:rPr>
          <w:sz w:val="24"/>
          <w:szCs w:val="24"/>
        </w:rPr>
        <w:t xml:space="preserve">access to </w:t>
      </w:r>
      <w:r w:rsidR="001575DD">
        <w:rPr>
          <w:sz w:val="24"/>
          <w:szCs w:val="24"/>
        </w:rPr>
        <w:t xml:space="preserve">advanced </w:t>
      </w:r>
      <w:r w:rsidR="001575DD" w:rsidRPr="00A23B18">
        <w:rPr>
          <w:sz w:val="24"/>
          <w:szCs w:val="24"/>
        </w:rPr>
        <w:t>emergency service</w:t>
      </w:r>
      <w:r w:rsidR="001575DD">
        <w:rPr>
          <w:sz w:val="24"/>
          <w:szCs w:val="24"/>
        </w:rPr>
        <w:t xml:space="preserve">s.  </w:t>
      </w:r>
      <w:r w:rsidR="001575DD">
        <w:rPr>
          <w:sz w:val="24"/>
          <w:szCs w:val="24"/>
        </w:rPr>
        <w:t xml:space="preserve">Likewise, the Wireless RERC </w:t>
      </w:r>
      <w:r w:rsidR="00303C2D">
        <w:rPr>
          <w:sz w:val="24"/>
          <w:szCs w:val="24"/>
        </w:rPr>
        <w:t>commends</w:t>
      </w:r>
      <w:r w:rsidR="00303C2D" w:rsidRPr="00303C2D">
        <w:rPr>
          <w:sz w:val="24"/>
          <w:szCs w:val="24"/>
        </w:rPr>
        <w:t xml:space="preserve"> the voluntary </w:t>
      </w:r>
      <w:r w:rsidR="00303C2D">
        <w:rPr>
          <w:sz w:val="24"/>
          <w:szCs w:val="24"/>
        </w:rPr>
        <w:t xml:space="preserve">actions of industry to deploy an interim text-to-911 solution via the </w:t>
      </w:r>
      <w:r w:rsidR="00303C2D" w:rsidRPr="00303C2D">
        <w:rPr>
          <w:sz w:val="24"/>
          <w:szCs w:val="24"/>
        </w:rPr>
        <w:t xml:space="preserve">Carrier-NENA-APCO agreement; </w:t>
      </w:r>
      <w:r w:rsidR="00303C2D">
        <w:rPr>
          <w:sz w:val="24"/>
          <w:szCs w:val="24"/>
        </w:rPr>
        <w:t xml:space="preserve">however </w:t>
      </w:r>
      <w:r w:rsidR="00303C2D" w:rsidRPr="00303C2D">
        <w:rPr>
          <w:sz w:val="24"/>
          <w:szCs w:val="24"/>
        </w:rPr>
        <w:t>we remain a proponent of obligatory rules concerning the deployment of text-to-911.</w:t>
      </w:r>
      <w:r w:rsidR="00303C2D">
        <w:rPr>
          <w:rStyle w:val="FootnoteReference"/>
          <w:szCs w:val="24"/>
        </w:rPr>
        <w:footnoteReference w:id="2"/>
      </w:r>
      <w:r w:rsidR="00303C2D" w:rsidRPr="00303C2D">
        <w:rPr>
          <w:sz w:val="24"/>
          <w:szCs w:val="24"/>
        </w:rPr>
        <w:t xml:space="preserve">   </w:t>
      </w:r>
    </w:p>
    <w:p w:rsidR="000A34BD" w:rsidRDefault="000A34BD" w:rsidP="000A34BD">
      <w:pPr>
        <w:spacing w:line="480" w:lineRule="auto"/>
        <w:rPr>
          <w:sz w:val="24"/>
          <w:szCs w:val="24"/>
        </w:rPr>
      </w:pPr>
    </w:p>
    <w:p w:rsidR="000A34BD" w:rsidRPr="000A34BD" w:rsidRDefault="000A34BD" w:rsidP="000A34BD">
      <w:pPr>
        <w:spacing w:line="480" w:lineRule="auto"/>
        <w:rPr>
          <w:sz w:val="24"/>
          <w:szCs w:val="24"/>
        </w:rPr>
      </w:pPr>
      <w:r w:rsidRPr="000A34BD">
        <w:rPr>
          <w:sz w:val="24"/>
          <w:szCs w:val="24"/>
        </w:rPr>
        <w:t>The Wireless RERC reaches out to the community of people with disabilities to gather their input regarding their specific accessibility needs.  This is an ongoing effort conducted through the Web-</w:t>
      </w:r>
      <w:r w:rsidRPr="000A34BD">
        <w:rPr>
          <w:sz w:val="24"/>
          <w:szCs w:val="24"/>
        </w:rPr>
        <w:lastRenderedPageBreak/>
        <w:t>based Wireless RERC Survey of User Needs (SUN), which is updated regularly.  In addition, the Wireless RERC conducts periodic surveys on topics of a timely nature such as hearing aid compatibility, use of social media in emergency communications, and the potential of next-generation 911 (NG911) technologies.  The comments respectfully submitted are based on subject matter expertise developed over the 1</w:t>
      </w:r>
      <w:r w:rsidR="006747C9">
        <w:rPr>
          <w:sz w:val="24"/>
          <w:szCs w:val="24"/>
        </w:rPr>
        <w:t>3</w:t>
      </w:r>
      <w:r w:rsidRPr="000A34BD">
        <w:rPr>
          <w:sz w:val="24"/>
          <w:szCs w:val="24"/>
        </w:rPr>
        <w:t xml:space="preserve"> years of the Wireless RERC’s existence.  Findings from our research and development efforts inform the recommendations made herein.</w:t>
      </w:r>
    </w:p>
    <w:p w:rsidR="000A34BD" w:rsidRDefault="000A34BD" w:rsidP="001575DD">
      <w:pPr>
        <w:spacing w:line="480" w:lineRule="auto"/>
        <w:ind w:firstLine="720"/>
        <w:rPr>
          <w:sz w:val="24"/>
          <w:szCs w:val="24"/>
        </w:rPr>
      </w:pPr>
    </w:p>
    <w:p w:rsidR="00427781" w:rsidRPr="00F62577" w:rsidRDefault="00F62577" w:rsidP="00143843">
      <w:pPr>
        <w:spacing w:line="480" w:lineRule="auto"/>
        <w:rPr>
          <w:b/>
          <w:snapToGrid/>
          <w:kern w:val="0"/>
          <w:sz w:val="24"/>
          <w:szCs w:val="24"/>
        </w:rPr>
      </w:pPr>
      <w:r w:rsidRPr="00F62577">
        <w:rPr>
          <w:b/>
          <w:snapToGrid/>
          <w:kern w:val="0"/>
          <w:sz w:val="24"/>
          <w:szCs w:val="24"/>
        </w:rPr>
        <w:t>Reply to Comments filed by Sprint</w:t>
      </w:r>
    </w:p>
    <w:p w:rsidR="00303C2D" w:rsidRDefault="00427781" w:rsidP="00303C2D">
      <w:pPr>
        <w:spacing w:line="480" w:lineRule="auto"/>
        <w:rPr>
          <w:sz w:val="24"/>
          <w:szCs w:val="24"/>
        </w:rPr>
      </w:pPr>
      <w:r>
        <w:rPr>
          <w:snapToGrid/>
          <w:kern w:val="0"/>
          <w:sz w:val="24"/>
          <w:szCs w:val="24"/>
        </w:rPr>
        <w:t>The Wireless RERC agrees with the comments of Sprint that “</w:t>
      </w:r>
      <w:r w:rsidRPr="00427781">
        <w:rPr>
          <w:snapToGrid/>
          <w:kern w:val="0"/>
          <w:sz w:val="24"/>
          <w:szCs w:val="24"/>
        </w:rPr>
        <w:t>Relay services are not delivered via SMS and should remain separate until a more robust, reliable text-to-911 messaging service becomes available.</w:t>
      </w:r>
      <w:r w:rsidR="00460187">
        <w:rPr>
          <w:rStyle w:val="FootnoteReference"/>
          <w:snapToGrid/>
          <w:kern w:val="0"/>
          <w:szCs w:val="24"/>
        </w:rPr>
        <w:footnoteReference w:id="3"/>
      </w:r>
      <w:r w:rsidR="00460187">
        <w:rPr>
          <w:snapToGrid/>
          <w:kern w:val="0"/>
          <w:sz w:val="24"/>
          <w:szCs w:val="24"/>
        </w:rPr>
        <w:t>”</w:t>
      </w:r>
      <w:r w:rsidRPr="00427781">
        <w:rPr>
          <w:snapToGrid/>
          <w:kern w:val="0"/>
          <w:sz w:val="24"/>
          <w:szCs w:val="24"/>
        </w:rPr>
        <w:t xml:space="preserve"> </w:t>
      </w:r>
      <w:r>
        <w:rPr>
          <w:snapToGrid/>
          <w:kern w:val="0"/>
          <w:sz w:val="24"/>
          <w:szCs w:val="24"/>
        </w:rPr>
        <w:t xml:space="preserve"> And further, “</w:t>
      </w:r>
      <w:r w:rsidRPr="00427781">
        <w:rPr>
          <w:sz w:val="24"/>
          <w:szCs w:val="24"/>
        </w:rPr>
        <w:t>Sprint strongly urges the Commission to act with</w:t>
      </w:r>
      <w:r>
        <w:rPr>
          <w:sz w:val="24"/>
          <w:szCs w:val="24"/>
        </w:rPr>
        <w:t xml:space="preserve"> </w:t>
      </w:r>
      <w:r w:rsidRPr="00427781">
        <w:rPr>
          <w:sz w:val="24"/>
          <w:szCs w:val="24"/>
        </w:rPr>
        <w:t>caution before imposing any new obligations associated with SMS-based text-to-911 service on relay service providers</w:t>
      </w:r>
      <w:r>
        <w:rPr>
          <w:sz w:val="24"/>
          <w:szCs w:val="24"/>
        </w:rPr>
        <w:t>.</w:t>
      </w:r>
      <w:r w:rsidR="00460187">
        <w:rPr>
          <w:rStyle w:val="FootnoteReference"/>
          <w:szCs w:val="24"/>
        </w:rPr>
        <w:footnoteReference w:id="4"/>
      </w:r>
      <w:r>
        <w:rPr>
          <w:sz w:val="24"/>
          <w:szCs w:val="24"/>
        </w:rPr>
        <w:t>”</w:t>
      </w:r>
      <w:r w:rsidR="00460187">
        <w:rPr>
          <w:sz w:val="24"/>
          <w:szCs w:val="24"/>
        </w:rPr>
        <w:t xml:space="preserve">  Relay service providers perform an invaluable role in providing telecommunications access for people with </w:t>
      </w:r>
      <w:r w:rsidR="000E06EB">
        <w:rPr>
          <w:sz w:val="24"/>
          <w:szCs w:val="24"/>
        </w:rPr>
        <w:t>disabilities;</w:t>
      </w:r>
      <w:r w:rsidR="00460187">
        <w:rPr>
          <w:sz w:val="24"/>
          <w:szCs w:val="24"/>
        </w:rPr>
        <w:t xml:space="preserve"> however in the context of 911 calls relay services are not</w:t>
      </w:r>
      <w:r w:rsidR="000E06EB">
        <w:rPr>
          <w:sz w:val="24"/>
          <w:szCs w:val="24"/>
        </w:rPr>
        <w:t xml:space="preserve"> ideal.  T</w:t>
      </w:r>
      <w:r w:rsidR="00460187">
        <w:rPr>
          <w:sz w:val="24"/>
          <w:szCs w:val="24"/>
        </w:rPr>
        <w:t xml:space="preserve">hey rely on a third party to </w:t>
      </w:r>
      <w:r w:rsidR="000E06EB">
        <w:rPr>
          <w:sz w:val="24"/>
          <w:szCs w:val="24"/>
        </w:rPr>
        <w:t xml:space="preserve">convey </w:t>
      </w:r>
      <w:r w:rsidR="00460187">
        <w:rPr>
          <w:sz w:val="24"/>
          <w:szCs w:val="24"/>
        </w:rPr>
        <w:t xml:space="preserve">information </w:t>
      </w:r>
      <w:r w:rsidR="000E06EB">
        <w:rPr>
          <w:sz w:val="24"/>
          <w:szCs w:val="24"/>
        </w:rPr>
        <w:t xml:space="preserve">from </w:t>
      </w:r>
      <w:r w:rsidR="00460187">
        <w:rPr>
          <w:sz w:val="24"/>
          <w:szCs w:val="24"/>
        </w:rPr>
        <w:t xml:space="preserve">the caller </w:t>
      </w:r>
      <w:r w:rsidR="000E06EB">
        <w:rPr>
          <w:sz w:val="24"/>
          <w:szCs w:val="24"/>
        </w:rPr>
        <w:t xml:space="preserve">to the call taker and back again.  Naturally, this adds time, which in an emergency is of the utmost importance.  </w:t>
      </w:r>
      <w:r w:rsidR="00143843">
        <w:rPr>
          <w:sz w:val="24"/>
          <w:szCs w:val="24"/>
        </w:rPr>
        <w:t xml:space="preserve">Data collected by the Wireless RERC concerning actual and preferred methods for people with disabilities to contact emergency services revealed that telephone relay services (mobile and landline) were amongst the lowest rated methods used </w:t>
      </w:r>
      <w:r w:rsidR="00143843" w:rsidRPr="00143843">
        <w:rPr>
          <w:i/>
          <w:sz w:val="24"/>
          <w:szCs w:val="24"/>
        </w:rPr>
        <w:t>and</w:t>
      </w:r>
      <w:r w:rsidR="00143843">
        <w:rPr>
          <w:sz w:val="24"/>
          <w:szCs w:val="24"/>
        </w:rPr>
        <w:t xml:space="preserve"> preferred to use by people with hearing and </w:t>
      </w:r>
      <w:r w:rsidR="0082495A">
        <w:rPr>
          <w:sz w:val="24"/>
          <w:szCs w:val="24"/>
        </w:rPr>
        <w:t>speech</w:t>
      </w:r>
      <w:r w:rsidR="00143843">
        <w:rPr>
          <w:sz w:val="24"/>
          <w:szCs w:val="24"/>
        </w:rPr>
        <w:t xml:space="preserve"> disabilities.</w:t>
      </w:r>
      <w:r w:rsidR="00143843">
        <w:rPr>
          <w:rStyle w:val="FootnoteReference"/>
          <w:szCs w:val="24"/>
        </w:rPr>
        <w:footnoteReference w:id="5"/>
      </w:r>
      <w:r w:rsidR="00143843">
        <w:rPr>
          <w:sz w:val="24"/>
          <w:szCs w:val="24"/>
        </w:rPr>
        <w:t xml:space="preserve">  Conversely, text message and other text-based messaging (e.g. instant messages) were rated amongst the most preferred methods.</w:t>
      </w:r>
      <w:r w:rsidR="00143843">
        <w:rPr>
          <w:rStyle w:val="FootnoteReference"/>
          <w:szCs w:val="24"/>
        </w:rPr>
        <w:footnoteReference w:id="6"/>
      </w:r>
      <w:r w:rsidR="00143843">
        <w:rPr>
          <w:sz w:val="24"/>
          <w:szCs w:val="24"/>
        </w:rPr>
        <w:t xml:space="preserve">  Hence, it is the opinion of the Wireless RERC that the interim text-to-911 solution not </w:t>
      </w:r>
      <w:proofErr w:type="gramStart"/>
      <w:r w:rsidR="00143843">
        <w:rPr>
          <w:sz w:val="24"/>
          <w:szCs w:val="24"/>
        </w:rPr>
        <w:t>be</w:t>
      </w:r>
      <w:proofErr w:type="gramEnd"/>
      <w:r w:rsidR="00143843">
        <w:rPr>
          <w:sz w:val="24"/>
          <w:szCs w:val="24"/>
        </w:rPr>
        <w:t xml:space="preserve"> extended to relay </w:t>
      </w:r>
      <w:r w:rsidR="00143843">
        <w:rPr>
          <w:sz w:val="24"/>
          <w:szCs w:val="24"/>
        </w:rPr>
        <w:lastRenderedPageBreak/>
        <w:t>service providers, but focus on mobile SMS and OTT messaging services.</w:t>
      </w:r>
    </w:p>
    <w:p w:rsidR="00C44264" w:rsidRDefault="00C44264" w:rsidP="00303C2D">
      <w:pPr>
        <w:spacing w:line="480" w:lineRule="auto"/>
        <w:rPr>
          <w:sz w:val="24"/>
          <w:szCs w:val="24"/>
        </w:rPr>
      </w:pPr>
    </w:p>
    <w:p w:rsidR="00F62577" w:rsidRPr="00F62577" w:rsidRDefault="00F62577" w:rsidP="00303C2D">
      <w:pPr>
        <w:spacing w:line="480" w:lineRule="auto"/>
        <w:rPr>
          <w:b/>
          <w:sz w:val="24"/>
          <w:szCs w:val="24"/>
        </w:rPr>
      </w:pPr>
      <w:r w:rsidRPr="00F62577">
        <w:rPr>
          <w:b/>
          <w:sz w:val="24"/>
          <w:szCs w:val="24"/>
        </w:rPr>
        <w:t>Reply to Comments filed by C</w:t>
      </w:r>
      <w:r>
        <w:rPr>
          <w:b/>
          <w:sz w:val="24"/>
          <w:szCs w:val="24"/>
        </w:rPr>
        <w:t>T</w:t>
      </w:r>
      <w:r w:rsidRPr="00F62577">
        <w:rPr>
          <w:b/>
          <w:sz w:val="24"/>
          <w:szCs w:val="24"/>
        </w:rPr>
        <w:t>IA – The Wireless Association (CTIA)</w:t>
      </w:r>
    </w:p>
    <w:p w:rsidR="00C44264" w:rsidRDefault="00F62577" w:rsidP="00C44264">
      <w:pPr>
        <w:spacing w:line="480" w:lineRule="auto"/>
        <w:rPr>
          <w:snapToGrid/>
          <w:kern w:val="0"/>
          <w:sz w:val="24"/>
          <w:szCs w:val="24"/>
        </w:rPr>
      </w:pPr>
      <w:r>
        <w:rPr>
          <w:snapToGrid/>
          <w:kern w:val="0"/>
          <w:sz w:val="24"/>
          <w:szCs w:val="24"/>
        </w:rPr>
        <w:t xml:space="preserve">CTIA asserts that that “…the Commission should not codify or play any enforcement roles over voluntary agreement such as the </w:t>
      </w:r>
      <w:r w:rsidR="00F3659D">
        <w:rPr>
          <w:snapToGrid/>
          <w:kern w:val="0"/>
          <w:sz w:val="24"/>
          <w:szCs w:val="24"/>
        </w:rPr>
        <w:t>C</w:t>
      </w:r>
      <w:r>
        <w:rPr>
          <w:snapToGrid/>
          <w:kern w:val="0"/>
          <w:sz w:val="24"/>
          <w:szCs w:val="24"/>
        </w:rPr>
        <w:t>arrier-NENA-APCO Agreement.</w:t>
      </w:r>
      <w:r>
        <w:rPr>
          <w:rStyle w:val="FootnoteReference"/>
          <w:snapToGrid/>
          <w:kern w:val="0"/>
          <w:szCs w:val="24"/>
        </w:rPr>
        <w:footnoteReference w:id="7"/>
      </w:r>
      <w:r>
        <w:rPr>
          <w:snapToGrid/>
          <w:kern w:val="0"/>
          <w:sz w:val="24"/>
          <w:szCs w:val="24"/>
        </w:rPr>
        <w:t>”</w:t>
      </w:r>
      <w:r w:rsidR="00EF7DE0">
        <w:rPr>
          <w:snapToGrid/>
          <w:kern w:val="0"/>
          <w:sz w:val="24"/>
          <w:szCs w:val="24"/>
        </w:rPr>
        <w:t xml:space="preserve">  The Wireless RERC is concerned that in the absence of obligatory rules concerning the deployment of text-to-911 that the deployment of a nationwide capability for text-to-911 messages to be sent </w:t>
      </w:r>
      <w:r w:rsidR="00EF7DE0" w:rsidRPr="006747C9">
        <w:rPr>
          <w:i/>
          <w:snapToGrid/>
          <w:kern w:val="0"/>
          <w:sz w:val="24"/>
          <w:szCs w:val="24"/>
        </w:rPr>
        <w:t>and</w:t>
      </w:r>
      <w:r w:rsidR="00EF7DE0">
        <w:rPr>
          <w:snapToGrid/>
          <w:kern w:val="0"/>
          <w:sz w:val="24"/>
          <w:szCs w:val="24"/>
        </w:rPr>
        <w:t xml:space="preserve"> received will </w:t>
      </w:r>
      <w:r w:rsidR="0082495A">
        <w:rPr>
          <w:snapToGrid/>
          <w:kern w:val="0"/>
          <w:sz w:val="24"/>
          <w:szCs w:val="24"/>
        </w:rPr>
        <w:t xml:space="preserve">exacerbate an already anticipated </w:t>
      </w:r>
      <w:r w:rsidR="00EF7DE0">
        <w:rPr>
          <w:snapToGrid/>
          <w:kern w:val="0"/>
          <w:sz w:val="24"/>
          <w:szCs w:val="24"/>
        </w:rPr>
        <w:t>patchwork</w:t>
      </w:r>
      <w:r w:rsidR="0082495A">
        <w:rPr>
          <w:snapToGrid/>
          <w:kern w:val="0"/>
          <w:sz w:val="24"/>
          <w:szCs w:val="24"/>
        </w:rPr>
        <w:t xml:space="preserve"> deployment and further </w:t>
      </w:r>
      <w:r w:rsidR="00EF7DE0">
        <w:rPr>
          <w:snapToGrid/>
          <w:kern w:val="0"/>
          <w:sz w:val="24"/>
          <w:szCs w:val="24"/>
        </w:rPr>
        <w:t>riddle</w:t>
      </w:r>
      <w:r w:rsidR="0082495A">
        <w:rPr>
          <w:snapToGrid/>
          <w:kern w:val="0"/>
          <w:sz w:val="24"/>
          <w:szCs w:val="24"/>
        </w:rPr>
        <w:t xml:space="preserve"> it </w:t>
      </w:r>
      <w:r w:rsidR="00EF7DE0">
        <w:rPr>
          <w:snapToGrid/>
          <w:kern w:val="0"/>
          <w:sz w:val="24"/>
          <w:szCs w:val="24"/>
        </w:rPr>
        <w:t>with coverage inconstancies</w:t>
      </w:r>
      <w:r w:rsidR="00C44264">
        <w:rPr>
          <w:snapToGrid/>
          <w:kern w:val="0"/>
          <w:sz w:val="24"/>
          <w:szCs w:val="24"/>
        </w:rPr>
        <w:t>.  As stated in the FCC’s Policy Statement, rules should be implemented “…</w:t>
      </w:r>
      <w:r w:rsidR="00C44264" w:rsidRPr="00C44264">
        <w:rPr>
          <w:snapToGrid/>
          <w:kern w:val="0"/>
          <w:sz w:val="24"/>
          <w:szCs w:val="24"/>
        </w:rPr>
        <w:t>so it applies to all providers equally (including future entrants into the market) in a manner that brings regulatory clarity so that all participants in the 911 ecosystem can plan accordingly.</w:t>
      </w:r>
      <w:r w:rsidR="00C44264">
        <w:rPr>
          <w:rStyle w:val="FootnoteReference"/>
          <w:snapToGrid/>
          <w:kern w:val="0"/>
          <w:szCs w:val="24"/>
        </w:rPr>
        <w:footnoteReference w:id="8"/>
      </w:r>
      <w:r w:rsidR="00C44264">
        <w:rPr>
          <w:snapToGrid/>
          <w:kern w:val="0"/>
          <w:sz w:val="24"/>
          <w:szCs w:val="24"/>
        </w:rPr>
        <w:t xml:space="preserve">”  </w:t>
      </w:r>
    </w:p>
    <w:p w:rsidR="00C44264" w:rsidRDefault="00C44264" w:rsidP="00C44264">
      <w:pPr>
        <w:spacing w:line="480" w:lineRule="auto"/>
        <w:rPr>
          <w:snapToGrid/>
          <w:kern w:val="0"/>
          <w:sz w:val="24"/>
          <w:szCs w:val="24"/>
        </w:rPr>
      </w:pPr>
    </w:p>
    <w:p w:rsidR="00C44264" w:rsidRDefault="00C44264" w:rsidP="00C44264">
      <w:pPr>
        <w:spacing w:line="480" w:lineRule="auto"/>
        <w:rPr>
          <w:snapToGrid/>
          <w:kern w:val="0"/>
          <w:sz w:val="24"/>
          <w:szCs w:val="24"/>
        </w:rPr>
      </w:pPr>
      <w:r>
        <w:rPr>
          <w:snapToGrid/>
          <w:kern w:val="0"/>
          <w:sz w:val="24"/>
          <w:szCs w:val="24"/>
        </w:rPr>
        <w:t>T</w:t>
      </w:r>
      <w:r w:rsidRPr="00C44264">
        <w:rPr>
          <w:snapToGrid/>
          <w:kern w:val="0"/>
          <w:sz w:val="24"/>
          <w:szCs w:val="24"/>
        </w:rPr>
        <w:t xml:space="preserve">he </w:t>
      </w:r>
      <w:r w:rsidR="0082495A">
        <w:rPr>
          <w:snapToGrid/>
          <w:kern w:val="0"/>
          <w:sz w:val="24"/>
          <w:szCs w:val="24"/>
        </w:rPr>
        <w:t xml:space="preserve">“participants” </w:t>
      </w:r>
      <w:r w:rsidR="00965FEB">
        <w:rPr>
          <w:snapToGrid/>
          <w:kern w:val="0"/>
          <w:sz w:val="24"/>
          <w:szCs w:val="24"/>
        </w:rPr>
        <w:t>that stand</w:t>
      </w:r>
      <w:r w:rsidRPr="00C44264">
        <w:rPr>
          <w:snapToGrid/>
          <w:kern w:val="0"/>
          <w:sz w:val="24"/>
          <w:szCs w:val="24"/>
        </w:rPr>
        <w:t xml:space="preserve"> to benefit the most </w:t>
      </w:r>
      <w:r w:rsidR="0082495A">
        <w:rPr>
          <w:snapToGrid/>
          <w:kern w:val="0"/>
          <w:sz w:val="24"/>
          <w:szCs w:val="24"/>
        </w:rPr>
        <w:t>are</w:t>
      </w:r>
      <w:r w:rsidRPr="00C44264">
        <w:rPr>
          <w:snapToGrid/>
          <w:kern w:val="0"/>
          <w:sz w:val="24"/>
          <w:szCs w:val="24"/>
        </w:rPr>
        <w:t xml:space="preserve"> people with disabilities; particularly, people with hearing loss and speech disabilities.  People with speech disabilities are a large and diverse group which includes individuals with Autism, traumatic brain injury, stroke, physical trauma to the vocal chords, cleft lip or palate, and others with difficulties vocalizing (e.g., stuttering).  Of course, other situations may require “silent calls” by the hearing population, as well.  Therefore, despite the voluntary measures taken by the top four U.S. providers, it is necessary that </w:t>
      </w:r>
      <w:r w:rsidRPr="00C44264">
        <w:rPr>
          <w:i/>
          <w:snapToGrid/>
          <w:kern w:val="0"/>
          <w:sz w:val="24"/>
          <w:szCs w:val="24"/>
        </w:rPr>
        <w:t>all</w:t>
      </w:r>
      <w:r w:rsidRPr="00C44264">
        <w:rPr>
          <w:snapToGrid/>
          <w:kern w:val="0"/>
          <w:sz w:val="24"/>
          <w:szCs w:val="24"/>
        </w:rPr>
        <w:t xml:space="preserve"> mobile service providers be held to the same standards to ensure as great of coverage as possible with regard to text-to-911 availability</w:t>
      </w:r>
      <w:r>
        <w:rPr>
          <w:snapToGrid/>
          <w:kern w:val="0"/>
          <w:sz w:val="24"/>
          <w:szCs w:val="24"/>
        </w:rPr>
        <w:t>.</w:t>
      </w:r>
    </w:p>
    <w:p w:rsidR="00C44264" w:rsidRDefault="00C44264" w:rsidP="00C44264">
      <w:pPr>
        <w:spacing w:line="480" w:lineRule="auto"/>
        <w:rPr>
          <w:snapToGrid/>
          <w:kern w:val="0"/>
          <w:sz w:val="24"/>
          <w:szCs w:val="24"/>
        </w:rPr>
      </w:pPr>
    </w:p>
    <w:p w:rsidR="00DE6AA3" w:rsidRDefault="00965FEB" w:rsidP="00C44264">
      <w:pPr>
        <w:spacing w:line="480" w:lineRule="auto"/>
        <w:rPr>
          <w:snapToGrid/>
          <w:kern w:val="0"/>
          <w:sz w:val="24"/>
          <w:szCs w:val="24"/>
        </w:rPr>
      </w:pPr>
      <w:r w:rsidRPr="00965FEB">
        <w:rPr>
          <w:snapToGrid/>
          <w:kern w:val="0"/>
          <w:sz w:val="24"/>
          <w:szCs w:val="24"/>
        </w:rPr>
        <w:t xml:space="preserve">Regulations are created to protect the public interest by outlining rules that aim to ensure a fair market, </w:t>
      </w:r>
      <w:r w:rsidRPr="00965FEB">
        <w:rPr>
          <w:snapToGrid/>
          <w:kern w:val="0"/>
          <w:sz w:val="24"/>
          <w:szCs w:val="24"/>
        </w:rPr>
        <w:lastRenderedPageBreak/>
        <w:t xml:space="preserve">encourage innovation and protect the consumer.  Equally important is the creation of policies and enforceable regulations that assure the accessibility of communications systems </w:t>
      </w:r>
      <w:r>
        <w:rPr>
          <w:snapToGrid/>
          <w:kern w:val="0"/>
          <w:sz w:val="24"/>
          <w:szCs w:val="24"/>
        </w:rPr>
        <w:t xml:space="preserve">that serve as lifelines </w:t>
      </w:r>
      <w:r w:rsidRPr="00965FEB">
        <w:rPr>
          <w:snapToGrid/>
          <w:kern w:val="0"/>
          <w:sz w:val="24"/>
          <w:szCs w:val="24"/>
        </w:rPr>
        <w:t>during emergencies.  Although market forces have necessitated the inclusion of mobile text into the emergency communications ecosystem, it is essential that mandates be put into place to ensure that all consumers can benefit.</w:t>
      </w:r>
      <w:r>
        <w:rPr>
          <w:snapToGrid/>
          <w:kern w:val="0"/>
          <w:sz w:val="24"/>
          <w:szCs w:val="24"/>
        </w:rPr>
        <w:t xml:space="preserve">  That is the foremost opinion of the Wireless RERC in these proceedings.  However, i</w:t>
      </w:r>
      <w:r w:rsidR="00C44264">
        <w:rPr>
          <w:snapToGrid/>
          <w:kern w:val="0"/>
          <w:sz w:val="24"/>
          <w:szCs w:val="24"/>
        </w:rPr>
        <w:t xml:space="preserve">f the FCC determines that </w:t>
      </w:r>
      <w:r w:rsidR="00F3659D">
        <w:rPr>
          <w:snapToGrid/>
          <w:kern w:val="0"/>
          <w:sz w:val="24"/>
          <w:szCs w:val="24"/>
        </w:rPr>
        <w:t xml:space="preserve">regulation is unnecessary, and </w:t>
      </w:r>
      <w:r w:rsidR="006747C9">
        <w:rPr>
          <w:snapToGrid/>
          <w:kern w:val="0"/>
          <w:sz w:val="24"/>
          <w:szCs w:val="24"/>
        </w:rPr>
        <w:t xml:space="preserve">CMRS and other IP text providers can voluntarily deploy text-to-911 capabilities, the Wireless RERC recommends that the FCC follow the model used with Wireless Emergency Alerts (formerly CMAS) in that providers were required to </w:t>
      </w:r>
      <w:r w:rsidR="0082495A">
        <w:rPr>
          <w:snapToGrid/>
          <w:kern w:val="0"/>
          <w:sz w:val="24"/>
          <w:szCs w:val="24"/>
        </w:rPr>
        <w:t>formally</w:t>
      </w:r>
      <w:r w:rsidR="006747C9">
        <w:rPr>
          <w:snapToGrid/>
          <w:kern w:val="0"/>
          <w:sz w:val="24"/>
          <w:szCs w:val="24"/>
        </w:rPr>
        <w:t xml:space="preserve"> elect to participate in the program, and</w:t>
      </w:r>
      <w:r w:rsidR="00B41611">
        <w:rPr>
          <w:snapToGrid/>
          <w:kern w:val="0"/>
          <w:sz w:val="24"/>
          <w:szCs w:val="24"/>
        </w:rPr>
        <w:t xml:space="preserve"> upon election to participate rules concerning deployment became applicable.  </w:t>
      </w:r>
      <w:r>
        <w:rPr>
          <w:snapToGrid/>
          <w:kern w:val="0"/>
          <w:sz w:val="24"/>
          <w:szCs w:val="24"/>
        </w:rPr>
        <w:t>Additionally, an</w:t>
      </w:r>
      <w:bookmarkStart w:id="0" w:name="_GoBack"/>
      <w:bookmarkEnd w:id="0"/>
      <w:r>
        <w:rPr>
          <w:snapToGrid/>
          <w:kern w:val="0"/>
          <w:sz w:val="24"/>
          <w:szCs w:val="24"/>
        </w:rPr>
        <w:t xml:space="preserve"> opt-in model may require </w:t>
      </w:r>
      <w:r w:rsidR="00556271">
        <w:rPr>
          <w:snapToGrid/>
          <w:kern w:val="0"/>
          <w:sz w:val="24"/>
          <w:szCs w:val="24"/>
        </w:rPr>
        <w:t>incentives</w:t>
      </w:r>
      <w:r>
        <w:rPr>
          <w:snapToGrid/>
          <w:kern w:val="0"/>
          <w:sz w:val="24"/>
          <w:szCs w:val="24"/>
        </w:rPr>
        <w:t xml:space="preserve"> to </w:t>
      </w:r>
      <w:r w:rsidR="00556271">
        <w:rPr>
          <w:snapToGrid/>
          <w:kern w:val="0"/>
          <w:sz w:val="24"/>
          <w:szCs w:val="24"/>
        </w:rPr>
        <w:t>encourage providers that are not party to the Carrier-NENA-APCP Agreement to participate.</w:t>
      </w:r>
      <w:r>
        <w:rPr>
          <w:snapToGrid/>
          <w:kern w:val="0"/>
          <w:sz w:val="24"/>
          <w:szCs w:val="24"/>
        </w:rPr>
        <w:t xml:space="preserve">  </w:t>
      </w:r>
      <w:r w:rsidR="00556271">
        <w:rPr>
          <w:snapToGrid/>
          <w:kern w:val="0"/>
          <w:sz w:val="24"/>
          <w:szCs w:val="24"/>
        </w:rPr>
        <w:t xml:space="preserve">While not our preference, this model </w:t>
      </w:r>
      <w:r w:rsidR="00B41611">
        <w:rPr>
          <w:snapToGrid/>
          <w:kern w:val="0"/>
          <w:sz w:val="24"/>
          <w:szCs w:val="24"/>
        </w:rPr>
        <w:t xml:space="preserve">will at least ensure that participating providers have regulatory </w:t>
      </w:r>
      <w:r w:rsidR="00F3659D">
        <w:rPr>
          <w:snapToGrid/>
          <w:kern w:val="0"/>
          <w:sz w:val="24"/>
          <w:szCs w:val="24"/>
        </w:rPr>
        <w:t>parity</w:t>
      </w:r>
      <w:r w:rsidR="00B41611">
        <w:rPr>
          <w:snapToGrid/>
          <w:kern w:val="0"/>
          <w:sz w:val="24"/>
          <w:szCs w:val="24"/>
        </w:rPr>
        <w:t xml:space="preserve"> and there is an </w:t>
      </w:r>
      <w:r w:rsidR="00F3659D">
        <w:rPr>
          <w:snapToGrid/>
          <w:kern w:val="0"/>
          <w:sz w:val="24"/>
          <w:szCs w:val="24"/>
        </w:rPr>
        <w:t xml:space="preserve">enforceable, </w:t>
      </w:r>
      <w:r w:rsidR="00B41611">
        <w:rPr>
          <w:snapToGrid/>
          <w:kern w:val="0"/>
          <w:sz w:val="24"/>
          <w:szCs w:val="24"/>
        </w:rPr>
        <w:t>accountability structure in place</w:t>
      </w:r>
      <w:r w:rsidR="00F3659D">
        <w:rPr>
          <w:snapToGrid/>
          <w:kern w:val="0"/>
          <w:sz w:val="24"/>
          <w:szCs w:val="24"/>
        </w:rPr>
        <w:t xml:space="preserve">.  </w:t>
      </w:r>
      <w:r w:rsidR="00DE6AA3">
        <w:rPr>
          <w:snapToGrid/>
          <w:kern w:val="0"/>
          <w:sz w:val="24"/>
          <w:szCs w:val="24"/>
        </w:rPr>
        <w:t>As stated by the Association of Public-Safety Communications Officials-International, Inc. (APCO), “…it is important that there be FCC enforcement options as public safety parties will have few independent avenues to enforce voluntary agreements, other than in the “court of public opinion</w:t>
      </w:r>
      <w:r w:rsidR="00DE6AA3">
        <w:rPr>
          <w:rStyle w:val="FootnoteReference"/>
          <w:snapToGrid/>
          <w:kern w:val="0"/>
          <w:szCs w:val="24"/>
        </w:rPr>
        <w:footnoteReference w:id="9"/>
      </w:r>
      <w:r w:rsidR="0082495A">
        <w:rPr>
          <w:snapToGrid/>
          <w:kern w:val="0"/>
          <w:sz w:val="24"/>
          <w:szCs w:val="24"/>
        </w:rPr>
        <w:t>” Likewise, for people with disabilities.</w:t>
      </w:r>
    </w:p>
    <w:p w:rsidR="00DE6AA3" w:rsidRDefault="00DE6AA3" w:rsidP="00C44264">
      <w:pPr>
        <w:spacing w:line="480" w:lineRule="auto"/>
        <w:rPr>
          <w:snapToGrid/>
          <w:kern w:val="0"/>
          <w:sz w:val="24"/>
          <w:szCs w:val="24"/>
        </w:rPr>
      </w:pPr>
    </w:p>
    <w:p w:rsidR="000D4D1B" w:rsidRPr="00C44264" w:rsidRDefault="000D4D1B" w:rsidP="000D4D1B">
      <w:pPr>
        <w:spacing w:line="480" w:lineRule="auto"/>
        <w:rPr>
          <w:snapToGrid/>
          <w:kern w:val="0"/>
          <w:sz w:val="24"/>
          <w:szCs w:val="24"/>
        </w:rPr>
      </w:pPr>
      <w:r>
        <w:rPr>
          <w:snapToGrid/>
          <w:kern w:val="0"/>
          <w:sz w:val="24"/>
          <w:szCs w:val="24"/>
        </w:rPr>
        <w:t xml:space="preserve">If the </w:t>
      </w:r>
      <w:r>
        <w:rPr>
          <w:snapToGrid/>
          <w:kern w:val="0"/>
          <w:sz w:val="24"/>
          <w:szCs w:val="24"/>
        </w:rPr>
        <w:t xml:space="preserve">evidence presented in this proceeding results in regulations, the </w:t>
      </w:r>
      <w:r>
        <w:rPr>
          <w:snapToGrid/>
          <w:kern w:val="0"/>
          <w:sz w:val="24"/>
          <w:szCs w:val="24"/>
        </w:rPr>
        <w:t>Wireless RERC agrees with CTIA (</w:t>
      </w:r>
      <w:r>
        <w:rPr>
          <w:snapToGrid/>
          <w:kern w:val="0"/>
          <w:sz w:val="24"/>
          <w:szCs w:val="24"/>
        </w:rPr>
        <w:t xml:space="preserve">and </w:t>
      </w:r>
      <w:r>
        <w:rPr>
          <w:snapToGrid/>
          <w:kern w:val="0"/>
          <w:sz w:val="24"/>
          <w:szCs w:val="24"/>
        </w:rPr>
        <w:t>Verizon and Verizon Wireless</w:t>
      </w:r>
      <w:r>
        <w:rPr>
          <w:rStyle w:val="FootnoteReference"/>
          <w:snapToGrid/>
          <w:kern w:val="0"/>
          <w:szCs w:val="24"/>
        </w:rPr>
        <w:footnoteReference w:id="10"/>
      </w:r>
      <w:r>
        <w:rPr>
          <w:snapToGrid/>
          <w:kern w:val="0"/>
          <w:sz w:val="24"/>
          <w:szCs w:val="24"/>
        </w:rPr>
        <w:t>) that “regulations governing the interim text-to-911 solution…should be limited to the vision of text-to-911 set forth in the Carrier-NENA-APCO Agreement.</w:t>
      </w:r>
      <w:r>
        <w:rPr>
          <w:rStyle w:val="FootnoteReference"/>
          <w:snapToGrid/>
          <w:kern w:val="0"/>
          <w:szCs w:val="24"/>
        </w:rPr>
        <w:footnoteReference w:id="11"/>
      </w:r>
      <w:r>
        <w:rPr>
          <w:snapToGrid/>
          <w:kern w:val="0"/>
          <w:sz w:val="24"/>
          <w:szCs w:val="24"/>
        </w:rPr>
        <w:t>”</w:t>
      </w:r>
      <w:r>
        <w:rPr>
          <w:snapToGrid/>
          <w:kern w:val="0"/>
          <w:sz w:val="24"/>
          <w:szCs w:val="24"/>
        </w:rPr>
        <w:t xml:space="preserve">  Such an approach would balance the need to create an enforcement structure without damaging industry’s’ future willingness to proffer voluntary initiatives that address a national interest.</w:t>
      </w:r>
      <w:r w:rsidR="005C0931">
        <w:rPr>
          <w:snapToGrid/>
          <w:kern w:val="0"/>
          <w:sz w:val="24"/>
          <w:szCs w:val="24"/>
        </w:rPr>
        <w:t xml:space="preserve">  The </w:t>
      </w:r>
      <w:r w:rsidR="005C0931" w:rsidRPr="005C0931">
        <w:rPr>
          <w:snapToGrid/>
          <w:kern w:val="0"/>
          <w:sz w:val="24"/>
          <w:szCs w:val="24"/>
        </w:rPr>
        <w:t>Carrier-NENA-APCO Agreement</w:t>
      </w:r>
      <w:r w:rsidR="005C0931">
        <w:rPr>
          <w:snapToGrid/>
          <w:kern w:val="0"/>
          <w:sz w:val="24"/>
          <w:szCs w:val="24"/>
        </w:rPr>
        <w:t xml:space="preserve"> expedited the regulatory process and allowed for the </w:t>
      </w:r>
      <w:r w:rsidR="005C0931">
        <w:rPr>
          <w:snapToGrid/>
          <w:kern w:val="0"/>
          <w:sz w:val="24"/>
          <w:szCs w:val="24"/>
        </w:rPr>
        <w:lastRenderedPageBreak/>
        <w:t>provisioning stakeholders to inform final rules.</w:t>
      </w:r>
      <w:r w:rsidR="00335AED">
        <w:rPr>
          <w:rStyle w:val="FootnoteReference"/>
          <w:snapToGrid/>
          <w:kern w:val="0"/>
          <w:szCs w:val="24"/>
        </w:rPr>
        <w:footnoteReference w:id="12"/>
      </w:r>
      <w:r w:rsidR="00335AED">
        <w:rPr>
          <w:snapToGrid/>
          <w:kern w:val="0"/>
          <w:sz w:val="24"/>
          <w:szCs w:val="24"/>
        </w:rPr>
        <w:t xml:space="preserve">  This rulemaking allows for other stakeholders, namely those commenting on behalf of consumers, and specifically consumers with disabilities, to provide their perspectives to ensure that final rules are effective and appropriate for all involved parties.</w:t>
      </w:r>
    </w:p>
    <w:p w:rsidR="00F62577" w:rsidRDefault="00F62577" w:rsidP="00F62577">
      <w:pPr>
        <w:spacing w:line="480" w:lineRule="auto"/>
        <w:rPr>
          <w:snapToGrid/>
          <w:kern w:val="0"/>
          <w:sz w:val="24"/>
          <w:szCs w:val="24"/>
        </w:rPr>
      </w:pPr>
    </w:p>
    <w:p w:rsidR="003B01EA" w:rsidRPr="003B01EA" w:rsidRDefault="003B01EA" w:rsidP="00B41611">
      <w:pPr>
        <w:widowControl/>
        <w:autoSpaceDE w:val="0"/>
        <w:autoSpaceDN w:val="0"/>
        <w:adjustRightInd w:val="0"/>
        <w:spacing w:line="480" w:lineRule="auto"/>
        <w:rPr>
          <w:snapToGrid/>
          <w:kern w:val="0"/>
          <w:sz w:val="24"/>
          <w:szCs w:val="24"/>
        </w:rPr>
      </w:pPr>
      <w:r w:rsidRPr="003B01EA">
        <w:rPr>
          <w:snapToGrid/>
          <w:kern w:val="0"/>
          <w:sz w:val="24"/>
          <w:szCs w:val="24"/>
        </w:rPr>
        <w:t>In closing, the Wireless RERC wishes to</w:t>
      </w:r>
      <w:r w:rsidR="00B41611">
        <w:rPr>
          <w:snapToGrid/>
          <w:kern w:val="0"/>
          <w:sz w:val="24"/>
          <w:szCs w:val="24"/>
        </w:rPr>
        <w:t xml:space="preserve"> reemphasize the importance of access to emergency services by people with hearing loss and speech disabilities.  Currently, a person who is deaf cannot independently and effectively use their mobile device to contact 911.  They can place </w:t>
      </w:r>
      <w:r w:rsidR="00556271">
        <w:rPr>
          <w:snapToGrid/>
          <w:kern w:val="0"/>
          <w:sz w:val="24"/>
          <w:szCs w:val="24"/>
        </w:rPr>
        <w:t>a</w:t>
      </w:r>
      <w:r w:rsidR="00B41611">
        <w:rPr>
          <w:snapToGrid/>
          <w:kern w:val="0"/>
          <w:sz w:val="24"/>
          <w:szCs w:val="24"/>
        </w:rPr>
        <w:t xml:space="preserve"> call but not explain what is needed.  This puts both the caller and the first responder in jeopardy by 1) increasing the time between the call for help and response and 2) decreasing the information needed for the 911 operator to dispatch the appropriate first responders</w:t>
      </w:r>
      <w:r w:rsidR="007059ED">
        <w:rPr>
          <w:snapToGrid/>
          <w:kern w:val="0"/>
          <w:sz w:val="24"/>
          <w:szCs w:val="24"/>
        </w:rPr>
        <w:t xml:space="preserve"> (e.g., fire vs. policy)</w:t>
      </w:r>
      <w:r w:rsidR="00B41611">
        <w:rPr>
          <w:snapToGrid/>
          <w:kern w:val="0"/>
          <w:sz w:val="24"/>
          <w:szCs w:val="24"/>
        </w:rPr>
        <w:t xml:space="preserve">. </w:t>
      </w:r>
      <w:r w:rsidR="007059ED">
        <w:rPr>
          <w:snapToGrid/>
          <w:kern w:val="0"/>
          <w:sz w:val="24"/>
          <w:szCs w:val="24"/>
        </w:rPr>
        <w:t xml:space="preserve"> Unfortunately, we are not speaking in hypotheticals.  </w:t>
      </w:r>
      <w:r w:rsidR="00556271">
        <w:rPr>
          <w:snapToGrid/>
          <w:kern w:val="0"/>
          <w:sz w:val="24"/>
          <w:szCs w:val="24"/>
        </w:rPr>
        <w:t>It is critical that the literal,</w:t>
      </w:r>
      <w:r w:rsidR="007059ED">
        <w:rPr>
          <w:snapToGrid/>
          <w:kern w:val="0"/>
          <w:sz w:val="24"/>
          <w:szCs w:val="24"/>
        </w:rPr>
        <w:t xml:space="preserve"> lifesaving service of 911 be extended to people with disabilities in the mobile environment.</w:t>
      </w:r>
    </w:p>
    <w:p w:rsidR="003B01EA" w:rsidRPr="003B01EA" w:rsidRDefault="003B01EA" w:rsidP="003B01EA">
      <w:pPr>
        <w:widowControl/>
        <w:spacing w:line="480" w:lineRule="auto"/>
        <w:rPr>
          <w:snapToGrid/>
          <w:kern w:val="0"/>
          <w:sz w:val="24"/>
          <w:szCs w:val="24"/>
        </w:rPr>
      </w:pPr>
      <w:r w:rsidRPr="003B01EA">
        <w:rPr>
          <w:snapToGrid/>
          <w:kern w:val="0"/>
          <w:sz w:val="24"/>
          <w:szCs w:val="24"/>
        </w:rPr>
        <w:t>Respectfully submitted,</w:t>
      </w:r>
    </w:p>
    <w:p w:rsidR="003B01EA" w:rsidRPr="007059ED" w:rsidRDefault="003B01EA" w:rsidP="003B01EA">
      <w:pPr>
        <w:widowControl/>
        <w:rPr>
          <w:snapToGrid/>
          <w:kern w:val="0"/>
          <w:sz w:val="24"/>
          <w:szCs w:val="24"/>
        </w:rPr>
      </w:pPr>
    </w:p>
    <w:p w:rsidR="003B01EA" w:rsidRPr="007059ED" w:rsidRDefault="00556271" w:rsidP="003B01EA">
      <w:pPr>
        <w:widowControl/>
        <w:rPr>
          <w:snapToGrid/>
          <w:kern w:val="0"/>
          <w:sz w:val="24"/>
          <w:szCs w:val="24"/>
        </w:rPr>
      </w:pPr>
      <w:r>
        <w:rPr>
          <w:noProof/>
          <w:sz w:val="24"/>
          <w:szCs w:val="24"/>
        </w:rPr>
        <w:drawing>
          <wp:inline distT="0" distB="0" distL="0" distR="0" wp14:anchorId="5C5FCAFD" wp14:editId="61FB44FE">
            <wp:extent cx="1219200" cy="485775"/>
            <wp:effectExtent l="0" t="0" r="0" b="9525"/>
            <wp:docPr id="4" name="Picture 4"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rsidR="00556271" w:rsidRPr="003B01EA" w:rsidRDefault="00556271" w:rsidP="00556271">
      <w:pPr>
        <w:widowControl/>
        <w:rPr>
          <w:snapToGrid/>
          <w:kern w:val="0"/>
          <w:sz w:val="24"/>
          <w:szCs w:val="24"/>
        </w:rPr>
      </w:pPr>
      <w:r w:rsidRPr="003B01EA">
        <w:rPr>
          <w:snapToGrid/>
          <w:kern w:val="0"/>
          <w:sz w:val="24"/>
          <w:szCs w:val="24"/>
        </w:rPr>
        <w:t>Salimah Major, Analyst (</w:t>
      </w:r>
      <w:r>
        <w:rPr>
          <w:snapToGrid/>
          <w:kern w:val="0"/>
          <w:sz w:val="24"/>
          <w:szCs w:val="24"/>
        </w:rPr>
        <w:t xml:space="preserve">Wireless RERC and </w:t>
      </w:r>
      <w:r w:rsidRPr="003B01EA">
        <w:rPr>
          <w:snapToGrid/>
          <w:kern w:val="0"/>
          <w:sz w:val="24"/>
          <w:szCs w:val="24"/>
        </w:rPr>
        <w:t>CACP)</w:t>
      </w:r>
      <w:r>
        <w:rPr>
          <w:snapToGrid/>
          <w:kern w:val="0"/>
          <w:sz w:val="24"/>
          <w:szCs w:val="24"/>
        </w:rPr>
        <w:t>,</w:t>
      </w:r>
    </w:p>
    <w:p w:rsidR="003B01EA" w:rsidRDefault="003B01EA" w:rsidP="003B01EA">
      <w:pPr>
        <w:widowControl/>
        <w:rPr>
          <w:snapToGrid/>
          <w:kern w:val="0"/>
          <w:sz w:val="24"/>
          <w:szCs w:val="24"/>
        </w:rPr>
      </w:pPr>
      <w:r w:rsidRPr="003B01EA">
        <w:rPr>
          <w:snapToGrid/>
          <w:kern w:val="0"/>
          <w:sz w:val="24"/>
          <w:szCs w:val="24"/>
        </w:rPr>
        <w:t>Helena Mitchell (Wireless and CACP)</w:t>
      </w:r>
      <w:r w:rsidR="00556271">
        <w:rPr>
          <w:snapToGrid/>
          <w:kern w:val="0"/>
          <w:sz w:val="24"/>
          <w:szCs w:val="24"/>
        </w:rPr>
        <w:t xml:space="preserve">, and </w:t>
      </w:r>
    </w:p>
    <w:p w:rsidR="003B01EA" w:rsidRPr="003B01EA" w:rsidRDefault="003B01EA" w:rsidP="003B01EA">
      <w:pPr>
        <w:widowControl/>
        <w:rPr>
          <w:snapToGrid/>
          <w:kern w:val="0"/>
          <w:sz w:val="24"/>
          <w:szCs w:val="24"/>
        </w:rPr>
      </w:pPr>
      <w:r w:rsidRPr="003B01EA">
        <w:rPr>
          <w:snapToGrid/>
          <w:kern w:val="0"/>
          <w:sz w:val="24"/>
          <w:szCs w:val="24"/>
        </w:rPr>
        <w:t>Frank Lucia, Co-Project Director (Wireless RERC)</w:t>
      </w:r>
    </w:p>
    <w:p w:rsidR="003B01EA" w:rsidRPr="003B01EA" w:rsidRDefault="003B01EA" w:rsidP="003B01EA">
      <w:pPr>
        <w:widowControl/>
        <w:rPr>
          <w:snapToGrid/>
          <w:kern w:val="0"/>
          <w:sz w:val="24"/>
          <w:szCs w:val="24"/>
        </w:rPr>
      </w:pPr>
      <w:r w:rsidRPr="003B01EA">
        <w:rPr>
          <w:snapToGrid/>
          <w:kern w:val="0"/>
          <w:sz w:val="24"/>
          <w:szCs w:val="24"/>
        </w:rPr>
        <w:t>Center for Advanced Communications Policy</w:t>
      </w:r>
    </w:p>
    <w:p w:rsidR="003B01EA" w:rsidRPr="003B01EA" w:rsidRDefault="003B01EA" w:rsidP="003B01EA">
      <w:pPr>
        <w:widowControl/>
        <w:rPr>
          <w:snapToGrid/>
          <w:kern w:val="0"/>
          <w:sz w:val="24"/>
          <w:szCs w:val="24"/>
        </w:rPr>
      </w:pPr>
      <w:proofErr w:type="gramStart"/>
      <w:r w:rsidRPr="003B01EA">
        <w:rPr>
          <w:snapToGrid/>
          <w:kern w:val="0"/>
          <w:sz w:val="24"/>
          <w:szCs w:val="24"/>
        </w:rPr>
        <w:t>and</w:t>
      </w:r>
      <w:proofErr w:type="gramEnd"/>
      <w:r w:rsidRPr="003B01EA">
        <w:rPr>
          <w:snapToGrid/>
          <w:kern w:val="0"/>
          <w:sz w:val="24"/>
          <w:szCs w:val="24"/>
        </w:rPr>
        <w:t xml:space="preserve"> the</w:t>
      </w:r>
    </w:p>
    <w:p w:rsidR="003B01EA" w:rsidRPr="003B01EA" w:rsidRDefault="003B01EA" w:rsidP="003B01EA">
      <w:pPr>
        <w:widowControl/>
        <w:rPr>
          <w:snapToGrid/>
          <w:kern w:val="0"/>
          <w:sz w:val="24"/>
          <w:szCs w:val="24"/>
        </w:rPr>
      </w:pPr>
      <w:r w:rsidRPr="003B01EA">
        <w:rPr>
          <w:snapToGrid/>
          <w:kern w:val="0"/>
          <w:sz w:val="24"/>
          <w:szCs w:val="24"/>
        </w:rPr>
        <w:t>Rehabilitation Engineering Research Center for Wireless Technologies</w:t>
      </w:r>
    </w:p>
    <w:p w:rsidR="003B01EA" w:rsidRPr="003B01EA" w:rsidRDefault="003B01EA" w:rsidP="003B01EA">
      <w:pPr>
        <w:widowControl/>
        <w:rPr>
          <w:snapToGrid/>
          <w:kern w:val="0"/>
          <w:sz w:val="24"/>
          <w:szCs w:val="24"/>
        </w:rPr>
      </w:pPr>
      <w:r w:rsidRPr="003B01EA">
        <w:rPr>
          <w:snapToGrid/>
          <w:kern w:val="0"/>
          <w:sz w:val="24"/>
          <w:szCs w:val="24"/>
        </w:rPr>
        <w:t>Georgia Institute of Technology</w:t>
      </w:r>
    </w:p>
    <w:p w:rsidR="003B01EA" w:rsidRPr="003B01EA" w:rsidRDefault="003B01EA" w:rsidP="003B01EA">
      <w:pPr>
        <w:widowControl/>
        <w:rPr>
          <w:snapToGrid/>
          <w:kern w:val="0"/>
          <w:sz w:val="24"/>
          <w:szCs w:val="24"/>
        </w:rPr>
      </w:pPr>
      <w:r w:rsidRPr="003B01EA">
        <w:rPr>
          <w:snapToGrid/>
          <w:kern w:val="0"/>
          <w:sz w:val="24"/>
          <w:szCs w:val="24"/>
        </w:rPr>
        <w:t>500 10</w:t>
      </w:r>
      <w:r w:rsidRPr="003B01EA">
        <w:rPr>
          <w:snapToGrid/>
          <w:kern w:val="0"/>
          <w:sz w:val="24"/>
          <w:szCs w:val="24"/>
          <w:vertAlign w:val="superscript"/>
        </w:rPr>
        <w:t>th</w:t>
      </w:r>
      <w:r w:rsidRPr="003B01EA">
        <w:rPr>
          <w:snapToGrid/>
          <w:kern w:val="0"/>
          <w:sz w:val="24"/>
          <w:szCs w:val="24"/>
        </w:rPr>
        <w:t xml:space="preserve"> Street, 3</w:t>
      </w:r>
      <w:r w:rsidRPr="003B01EA">
        <w:rPr>
          <w:snapToGrid/>
          <w:kern w:val="0"/>
          <w:sz w:val="24"/>
          <w:szCs w:val="24"/>
          <w:vertAlign w:val="superscript"/>
        </w:rPr>
        <w:t>rd</w:t>
      </w:r>
      <w:r w:rsidRPr="003B01EA">
        <w:rPr>
          <w:snapToGrid/>
          <w:kern w:val="0"/>
          <w:sz w:val="24"/>
          <w:szCs w:val="24"/>
        </w:rPr>
        <w:t xml:space="preserve"> Fl. NW</w:t>
      </w:r>
    </w:p>
    <w:p w:rsidR="003B01EA" w:rsidRPr="003B01EA" w:rsidRDefault="003B01EA" w:rsidP="003B01EA">
      <w:pPr>
        <w:widowControl/>
        <w:rPr>
          <w:snapToGrid/>
          <w:kern w:val="0"/>
          <w:sz w:val="24"/>
          <w:szCs w:val="24"/>
        </w:rPr>
      </w:pPr>
      <w:r w:rsidRPr="003B01EA">
        <w:rPr>
          <w:snapToGrid/>
          <w:kern w:val="0"/>
          <w:sz w:val="24"/>
          <w:szCs w:val="24"/>
        </w:rPr>
        <w:t>Atlanta, GA 30332-0620</w:t>
      </w:r>
    </w:p>
    <w:p w:rsidR="003B01EA" w:rsidRPr="003B01EA" w:rsidRDefault="003B01EA" w:rsidP="003B01EA">
      <w:pPr>
        <w:widowControl/>
        <w:rPr>
          <w:snapToGrid/>
          <w:kern w:val="0"/>
          <w:sz w:val="24"/>
          <w:szCs w:val="24"/>
        </w:rPr>
      </w:pPr>
      <w:r w:rsidRPr="003B01EA">
        <w:rPr>
          <w:snapToGrid/>
          <w:kern w:val="0"/>
          <w:sz w:val="24"/>
          <w:szCs w:val="24"/>
        </w:rPr>
        <w:t>Phone: (404) 385-4640</w:t>
      </w:r>
    </w:p>
    <w:p w:rsidR="003B01EA" w:rsidRPr="003B01EA" w:rsidRDefault="003B01EA" w:rsidP="003B01EA">
      <w:pPr>
        <w:widowControl/>
        <w:rPr>
          <w:snapToGrid/>
          <w:kern w:val="0"/>
          <w:sz w:val="24"/>
          <w:szCs w:val="24"/>
        </w:rPr>
      </w:pPr>
    </w:p>
    <w:p w:rsidR="003B01EA" w:rsidRPr="00DD7810" w:rsidRDefault="003B01EA" w:rsidP="00556271">
      <w:pPr>
        <w:spacing w:line="480" w:lineRule="auto"/>
        <w:rPr>
          <w:rFonts w:eastAsiaTheme="minorHAnsi"/>
          <w:snapToGrid/>
          <w:color w:val="000000"/>
          <w:kern w:val="0"/>
          <w:sz w:val="24"/>
          <w:szCs w:val="24"/>
          <w:shd w:val="clear" w:color="auto" w:fill="FFFFFF"/>
        </w:rPr>
      </w:pPr>
      <w:proofErr w:type="gramStart"/>
      <w:r w:rsidRPr="003B01EA">
        <w:rPr>
          <w:snapToGrid/>
          <w:kern w:val="0"/>
          <w:sz w:val="24"/>
          <w:szCs w:val="24"/>
        </w:rPr>
        <w:t>Dated this</w:t>
      </w:r>
      <w:r w:rsidR="00DD7810">
        <w:rPr>
          <w:snapToGrid/>
          <w:kern w:val="0"/>
          <w:sz w:val="24"/>
          <w:szCs w:val="24"/>
        </w:rPr>
        <w:t xml:space="preserve"> 5</w:t>
      </w:r>
      <w:r w:rsidR="00DD7810" w:rsidRPr="00DD7810">
        <w:rPr>
          <w:snapToGrid/>
          <w:kern w:val="0"/>
          <w:sz w:val="24"/>
          <w:szCs w:val="24"/>
          <w:vertAlign w:val="superscript"/>
        </w:rPr>
        <w:t>th</w:t>
      </w:r>
      <w:r w:rsidR="00DD7810">
        <w:rPr>
          <w:snapToGrid/>
          <w:kern w:val="0"/>
          <w:sz w:val="24"/>
          <w:szCs w:val="24"/>
        </w:rPr>
        <w:t xml:space="preserve"> day of May, 2014.</w:t>
      </w:r>
      <w:proofErr w:type="gramEnd"/>
    </w:p>
    <w:sectPr w:rsidR="003B01EA" w:rsidRPr="00DD7810" w:rsidSect="00556271">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58" w:rsidRDefault="00314258" w:rsidP="009E104F">
      <w:r>
        <w:separator/>
      </w:r>
    </w:p>
  </w:endnote>
  <w:endnote w:type="continuationSeparator" w:id="0">
    <w:p w:rsidR="00314258" w:rsidRDefault="00314258" w:rsidP="009E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523907"/>
      <w:docPartObj>
        <w:docPartGallery w:val="Page Numbers (Bottom of Page)"/>
        <w:docPartUnique/>
      </w:docPartObj>
    </w:sdtPr>
    <w:sdtEndPr>
      <w:rPr>
        <w:noProof/>
      </w:rPr>
    </w:sdtEndPr>
    <w:sdtContent>
      <w:p w:rsidR="00A61DEE" w:rsidRDefault="00A61DEE">
        <w:pPr>
          <w:pStyle w:val="Footer"/>
          <w:jc w:val="right"/>
        </w:pPr>
        <w:r>
          <w:fldChar w:fldCharType="begin"/>
        </w:r>
        <w:r>
          <w:instrText xml:space="preserve"> PAGE   \* MERGEFORMAT </w:instrText>
        </w:r>
        <w:r>
          <w:fldChar w:fldCharType="separate"/>
        </w:r>
        <w:r w:rsidR="00835C3B">
          <w:rPr>
            <w:noProof/>
          </w:rPr>
          <w:t>5</w:t>
        </w:r>
        <w:r>
          <w:rPr>
            <w:noProof/>
          </w:rPr>
          <w:fldChar w:fldCharType="end"/>
        </w:r>
      </w:p>
    </w:sdtContent>
  </w:sdt>
  <w:p w:rsidR="00A61DEE" w:rsidRDefault="00A61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58" w:rsidRDefault="00314258" w:rsidP="009E104F">
      <w:r>
        <w:separator/>
      </w:r>
    </w:p>
  </w:footnote>
  <w:footnote w:type="continuationSeparator" w:id="0">
    <w:p w:rsidR="00314258" w:rsidRDefault="00314258" w:rsidP="009E104F">
      <w:r>
        <w:continuationSeparator/>
      </w:r>
    </w:p>
  </w:footnote>
  <w:footnote w:id="1">
    <w:p w:rsidR="009E104F" w:rsidRDefault="009E104F" w:rsidP="009E104F">
      <w:pPr>
        <w:pStyle w:val="FootnoteText"/>
        <w:tabs>
          <w:tab w:val="left" w:pos="720"/>
        </w:tabs>
      </w:pPr>
      <w:r>
        <w:rPr>
          <w:rStyle w:val="FootnoteReference"/>
        </w:rPr>
        <w:footnoteRef/>
      </w:r>
      <w:r>
        <w:t xml:space="preserve"> The Rehabilitation Engineering Research Center for Wireless Technologies (Wireless RERC) is sponsored by the National Institute on Disability and Rehabilitation Research (NIDRR) of the U.S. Department of Education under grant number H133E110002.  The opinions contained in this filing are those of the authors and do not necessarily reflect those of the U.S. Department of Education or NIDRR.                                    </w:t>
      </w:r>
      <w:r w:rsidR="00573B9D">
        <w:t xml:space="preserve">                          </w:t>
      </w:r>
    </w:p>
  </w:footnote>
  <w:footnote w:id="2">
    <w:p w:rsidR="00303C2D" w:rsidRPr="00303C2D" w:rsidRDefault="00303C2D" w:rsidP="00303C2D">
      <w:pPr>
        <w:pStyle w:val="FootnoteText"/>
      </w:pPr>
      <w:r>
        <w:rPr>
          <w:rStyle w:val="FootnoteReference"/>
        </w:rPr>
        <w:footnoteRef/>
      </w:r>
      <w:r>
        <w:t xml:space="preserve"> See Wireless RERC</w:t>
      </w:r>
      <w:r w:rsidRPr="00303C2D">
        <w:t xml:space="preserve"> Reply Comments filed in response to </w:t>
      </w:r>
      <w:r w:rsidRPr="00303C2D">
        <w:rPr>
          <w:i/>
        </w:rPr>
        <w:t>Facilitating the Deployment of Text-to-911 and Other Next generation 911 Applications</w:t>
      </w:r>
      <w:r w:rsidRPr="00303C2D">
        <w:t xml:space="preserve"> [PS Docket No. 11-153]; </w:t>
      </w:r>
      <w:r w:rsidRPr="00303C2D">
        <w:rPr>
          <w:i/>
        </w:rPr>
        <w:t>Framework for Next Generation 911 Deployment</w:t>
      </w:r>
      <w:r w:rsidRPr="00303C2D">
        <w:t xml:space="preserve"> [PS Docket No. 10-255].  Federal Communications Commission:  Washington, DC, April 9, 2013.</w:t>
      </w:r>
    </w:p>
    <w:p w:rsidR="00303C2D" w:rsidRDefault="00303C2D">
      <w:pPr>
        <w:pStyle w:val="FootnoteText"/>
      </w:pPr>
    </w:p>
  </w:footnote>
  <w:footnote w:id="3">
    <w:p w:rsidR="00460187" w:rsidRDefault="00460187">
      <w:pPr>
        <w:pStyle w:val="FootnoteText"/>
      </w:pPr>
      <w:r>
        <w:rPr>
          <w:rStyle w:val="FootnoteReference"/>
        </w:rPr>
        <w:footnoteRef/>
      </w:r>
      <w:r>
        <w:t xml:space="preserve"> Comments filed by Sprint </w:t>
      </w:r>
      <w:r w:rsidRPr="00460187">
        <w:t>in Dockets No. 11-153, 10-255, April 4, 2014.</w:t>
      </w:r>
    </w:p>
  </w:footnote>
  <w:footnote w:id="4">
    <w:p w:rsidR="00460187" w:rsidRDefault="00460187">
      <w:pPr>
        <w:pStyle w:val="FootnoteText"/>
      </w:pPr>
      <w:r>
        <w:rPr>
          <w:rStyle w:val="FootnoteReference"/>
        </w:rPr>
        <w:footnoteRef/>
      </w:r>
      <w:r>
        <w:t xml:space="preserve"> </w:t>
      </w:r>
      <w:proofErr w:type="gramStart"/>
      <w:r>
        <w:t>Ibid, P. 9.</w:t>
      </w:r>
      <w:proofErr w:type="gramEnd"/>
    </w:p>
  </w:footnote>
  <w:footnote w:id="5">
    <w:p w:rsidR="00143843" w:rsidRDefault="00143843">
      <w:pPr>
        <w:pStyle w:val="FootnoteText"/>
      </w:pPr>
      <w:r>
        <w:rPr>
          <w:rStyle w:val="FootnoteReference"/>
        </w:rPr>
        <w:footnoteRef/>
      </w:r>
      <w:r>
        <w:t xml:space="preserve"> Wireless RERC (2013).  </w:t>
      </w:r>
      <w:proofErr w:type="gramStart"/>
      <w:r w:rsidRPr="00143843">
        <w:rPr>
          <w:i/>
        </w:rPr>
        <w:t>Research Brief (Number 01): Technology Use by People with Hearing and Speech Loss for Communicating with Emergency Response Services.</w:t>
      </w:r>
      <w:proofErr w:type="gramEnd"/>
      <w:r>
        <w:t xml:space="preserve">  April 4, 2013.  </w:t>
      </w:r>
      <w:proofErr w:type="gramStart"/>
      <w:r>
        <w:t xml:space="preserve">Available at </w:t>
      </w:r>
      <w:hyperlink r:id="rId1" w:history="1">
        <w:r w:rsidRPr="004F2B16">
          <w:rPr>
            <w:rStyle w:val="Hyperlink"/>
          </w:rPr>
          <w:t>http://www.wirelessrerc.gatech.edu/sites/default/files/publications/Research_Brief_Tech_Hearing_and_Speech_Loss_911_2013-04-04_Final%5B1%5D.pdf</w:t>
        </w:r>
      </w:hyperlink>
      <w:r>
        <w:t>.</w:t>
      </w:r>
      <w:proofErr w:type="gramEnd"/>
      <w:r>
        <w:t xml:space="preserve">  </w:t>
      </w:r>
    </w:p>
  </w:footnote>
  <w:footnote w:id="6">
    <w:p w:rsidR="00143843" w:rsidRDefault="00143843">
      <w:pPr>
        <w:pStyle w:val="FootnoteText"/>
      </w:pPr>
      <w:r>
        <w:rPr>
          <w:rStyle w:val="FootnoteReference"/>
        </w:rPr>
        <w:footnoteRef/>
      </w:r>
      <w:r>
        <w:t xml:space="preserve"> </w:t>
      </w:r>
      <w:proofErr w:type="gramStart"/>
      <w:r>
        <w:t>Ibid, p. 3.</w:t>
      </w:r>
      <w:proofErr w:type="gramEnd"/>
    </w:p>
  </w:footnote>
  <w:footnote w:id="7">
    <w:p w:rsidR="00F62577" w:rsidRDefault="00F62577">
      <w:pPr>
        <w:pStyle w:val="FootnoteText"/>
      </w:pPr>
      <w:r>
        <w:rPr>
          <w:rStyle w:val="FootnoteReference"/>
        </w:rPr>
        <w:footnoteRef/>
      </w:r>
      <w:r>
        <w:t xml:space="preserve"> Comments filed by CTIA in Dockets No. 11-153</w:t>
      </w:r>
      <w:r w:rsidR="00EF7DE0">
        <w:t>, 10-255, April 4, 2014.</w:t>
      </w:r>
    </w:p>
  </w:footnote>
  <w:footnote w:id="8">
    <w:p w:rsidR="00C44264" w:rsidRDefault="00C44264">
      <w:pPr>
        <w:pStyle w:val="FootnoteText"/>
      </w:pPr>
      <w:r>
        <w:rPr>
          <w:rStyle w:val="FootnoteReference"/>
        </w:rPr>
        <w:footnoteRef/>
      </w:r>
      <w:r>
        <w:t xml:space="preserve"> </w:t>
      </w:r>
      <w:proofErr w:type="gramStart"/>
      <w:r>
        <w:t>FCC (2014).</w:t>
      </w:r>
      <w:proofErr w:type="gramEnd"/>
      <w:r>
        <w:t xml:space="preserve">  </w:t>
      </w:r>
      <w:r w:rsidRPr="00C44264">
        <w:rPr>
          <w:i/>
        </w:rPr>
        <w:t>Policy Statement and Second Further Notice of Proposed Rulemaking In the Matter of Facilitating the Deployment of Text-to-911</w:t>
      </w:r>
      <w:r w:rsidRPr="00C44264">
        <w:t xml:space="preserve"> </w:t>
      </w:r>
      <w:r>
        <w:t xml:space="preserve">(11-153) </w:t>
      </w:r>
      <w:r w:rsidRPr="00C44264">
        <w:t>and</w:t>
      </w:r>
      <w:r>
        <w:t xml:space="preserve"> </w:t>
      </w:r>
      <w:r w:rsidRPr="00C44264">
        <w:rPr>
          <w:i/>
        </w:rPr>
        <w:t>Framework for Next Generation 911 Deployment (</w:t>
      </w:r>
      <w:r>
        <w:t>10-255).  Washington, D.C., January 30, 2014.</w:t>
      </w:r>
    </w:p>
  </w:footnote>
  <w:footnote w:id="9">
    <w:p w:rsidR="00DE6AA3" w:rsidRDefault="00DE6AA3">
      <w:pPr>
        <w:pStyle w:val="FootnoteText"/>
      </w:pPr>
      <w:r>
        <w:rPr>
          <w:rStyle w:val="FootnoteReference"/>
        </w:rPr>
        <w:footnoteRef/>
      </w:r>
      <w:r>
        <w:t xml:space="preserve"> Comments filed by APCO </w:t>
      </w:r>
      <w:r w:rsidRPr="00F3659D">
        <w:t>in Dockets No. 11-153, 10-255, April 4, 2014.</w:t>
      </w:r>
    </w:p>
  </w:footnote>
  <w:footnote w:id="10">
    <w:p w:rsidR="000D4D1B" w:rsidRDefault="000D4D1B" w:rsidP="000D4D1B">
      <w:pPr>
        <w:pStyle w:val="FootnoteText"/>
      </w:pPr>
      <w:r>
        <w:rPr>
          <w:rStyle w:val="FootnoteReference"/>
        </w:rPr>
        <w:footnoteRef/>
      </w:r>
      <w:r>
        <w:t xml:space="preserve"> Comments filed by Verizon and Verizon Wireless </w:t>
      </w:r>
      <w:r w:rsidRPr="00F3659D">
        <w:t>in Dockets No. 11-153, 10-255, April 4, 2014.</w:t>
      </w:r>
    </w:p>
  </w:footnote>
  <w:footnote w:id="11">
    <w:p w:rsidR="000D4D1B" w:rsidRDefault="000D4D1B" w:rsidP="000D4D1B">
      <w:pPr>
        <w:pStyle w:val="FootnoteText"/>
      </w:pPr>
      <w:r>
        <w:rPr>
          <w:rStyle w:val="FootnoteReference"/>
        </w:rPr>
        <w:footnoteRef/>
      </w:r>
      <w:r>
        <w:t xml:space="preserve"> Comments filed by CTIA in Dockets No. 11-153, 10-255, April 4, 2014, p. 9.</w:t>
      </w:r>
    </w:p>
  </w:footnote>
  <w:footnote w:id="12">
    <w:p w:rsidR="00335AED" w:rsidRDefault="00335AED">
      <w:pPr>
        <w:pStyle w:val="FootnoteText"/>
      </w:pPr>
      <w:r>
        <w:rPr>
          <w:rStyle w:val="FootnoteReference"/>
        </w:rPr>
        <w:footnoteRef/>
      </w:r>
      <w:r>
        <w:t xml:space="preserve"> </w:t>
      </w:r>
      <w:r>
        <w:t xml:space="preserve">Comments filed by APCO </w:t>
      </w:r>
      <w:r w:rsidRPr="00F3659D">
        <w:t>in Dockets No. 11-153, 10-255, April 4, 2014</w:t>
      </w:r>
      <w:r>
        <w:t>,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57A7"/>
    <w:multiLevelType w:val="hybridMultilevel"/>
    <w:tmpl w:val="B070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F3"/>
    <w:rsid w:val="00015FF3"/>
    <w:rsid w:val="000A34BD"/>
    <w:rsid w:val="000D4D1B"/>
    <w:rsid w:val="000E06EB"/>
    <w:rsid w:val="00143843"/>
    <w:rsid w:val="001575DD"/>
    <w:rsid w:val="00303C2D"/>
    <w:rsid w:val="00314258"/>
    <w:rsid w:val="00335AED"/>
    <w:rsid w:val="003B01EA"/>
    <w:rsid w:val="00427781"/>
    <w:rsid w:val="00460187"/>
    <w:rsid w:val="00556271"/>
    <w:rsid w:val="00573B9D"/>
    <w:rsid w:val="005C0931"/>
    <w:rsid w:val="00651883"/>
    <w:rsid w:val="006747C9"/>
    <w:rsid w:val="00685098"/>
    <w:rsid w:val="007059ED"/>
    <w:rsid w:val="007E6B90"/>
    <w:rsid w:val="0082495A"/>
    <w:rsid w:val="00835C3B"/>
    <w:rsid w:val="008B305F"/>
    <w:rsid w:val="009407C8"/>
    <w:rsid w:val="00965FEB"/>
    <w:rsid w:val="009C0CA9"/>
    <w:rsid w:val="009E104F"/>
    <w:rsid w:val="00A44269"/>
    <w:rsid w:val="00A61DEE"/>
    <w:rsid w:val="00B20CBF"/>
    <w:rsid w:val="00B41611"/>
    <w:rsid w:val="00BE05FF"/>
    <w:rsid w:val="00C44264"/>
    <w:rsid w:val="00CB4B1A"/>
    <w:rsid w:val="00D14A8C"/>
    <w:rsid w:val="00DD7810"/>
    <w:rsid w:val="00DE6AA3"/>
    <w:rsid w:val="00EF7DE0"/>
    <w:rsid w:val="00F3659D"/>
    <w:rsid w:val="00F6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F3"/>
    <w:pPr>
      <w:widowControl w:val="0"/>
      <w:spacing w:after="0" w:line="240" w:lineRule="auto"/>
    </w:pPr>
    <w:rPr>
      <w:rFonts w:ascii="Times New Roman" w:eastAsia="Times New Roman" w:hAnsi="Times New Roman" w:cs="Times New Roman"/>
      <w:snapToGrid w:val="0"/>
      <w:kern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015FF3"/>
    <w:pPr>
      <w:tabs>
        <w:tab w:val="right" w:pos="9360"/>
      </w:tabs>
      <w:suppressAutoHyphens/>
    </w:pPr>
  </w:style>
  <w:style w:type="paragraph" w:customStyle="1" w:styleId="StyleBoldCentered">
    <w:name w:val="Style Bold Centered"/>
    <w:basedOn w:val="Normal"/>
    <w:rsid w:val="00015FF3"/>
    <w:pPr>
      <w:jc w:val="center"/>
    </w:pPr>
    <w:rPr>
      <w:rFonts w:ascii="Times New Roman Bold" w:hAnsi="Times New Roman Bold"/>
      <w:b/>
      <w:bCs/>
      <w:caps/>
      <w:szCs w:val="22"/>
    </w:rPr>
  </w:style>
  <w:style w:type="paragraph" w:styleId="BalloonText">
    <w:name w:val="Balloon Text"/>
    <w:basedOn w:val="Normal"/>
    <w:link w:val="BalloonTextChar"/>
    <w:uiPriority w:val="99"/>
    <w:semiHidden/>
    <w:unhideWhenUsed/>
    <w:rsid w:val="00015FF3"/>
    <w:rPr>
      <w:rFonts w:ascii="Tahoma" w:hAnsi="Tahoma" w:cs="Tahoma"/>
      <w:sz w:val="16"/>
      <w:szCs w:val="16"/>
    </w:rPr>
  </w:style>
  <w:style w:type="character" w:customStyle="1" w:styleId="BalloonTextChar">
    <w:name w:val="Balloon Text Char"/>
    <w:basedOn w:val="DefaultParagraphFont"/>
    <w:link w:val="BalloonText"/>
    <w:uiPriority w:val="99"/>
    <w:semiHidden/>
    <w:rsid w:val="00015FF3"/>
    <w:rPr>
      <w:rFonts w:ascii="Tahoma" w:eastAsia="Times New Roman" w:hAnsi="Tahoma" w:cs="Tahoma"/>
      <w:snapToGrid w:val="0"/>
      <w:kern w:val="28"/>
      <w:sz w:val="16"/>
      <w:szCs w:val="16"/>
    </w:rPr>
  </w:style>
  <w:style w:type="paragraph" w:styleId="FootnoteText">
    <w:name w:val="footnote text"/>
    <w:basedOn w:val="Normal"/>
    <w:link w:val="FootnoteTextChar"/>
    <w:uiPriority w:val="99"/>
    <w:semiHidden/>
    <w:unhideWhenUsed/>
    <w:rsid w:val="009E104F"/>
    <w:rPr>
      <w:sz w:val="20"/>
    </w:rPr>
  </w:style>
  <w:style w:type="character" w:customStyle="1" w:styleId="FootnoteTextChar">
    <w:name w:val="Footnote Text Char"/>
    <w:basedOn w:val="DefaultParagraphFont"/>
    <w:link w:val="FootnoteText"/>
    <w:uiPriority w:val="99"/>
    <w:semiHidden/>
    <w:rsid w:val="009E104F"/>
    <w:rPr>
      <w:rFonts w:ascii="Times New Roman" w:eastAsia="Times New Roman" w:hAnsi="Times New Roman" w:cs="Times New Roman"/>
      <w:snapToGrid w:val="0"/>
      <w:kern w:val="28"/>
      <w:sz w:val="20"/>
      <w:szCs w:val="20"/>
    </w:rPr>
  </w:style>
  <w:style w:type="character" w:styleId="FootnoteReference">
    <w:name w:val="footnote reference"/>
    <w:aliases w:val="(NECG) Footnote Reference,o,fr,Style 3,Appel note de bas de p,Style 12,Style 124,Style 13,FR,Style 17,Style 6,Footnote Reference/"/>
    <w:semiHidden/>
    <w:unhideWhenUsed/>
    <w:rsid w:val="009E104F"/>
    <w:rPr>
      <w:rFonts w:ascii="Times New Roman" w:hAnsi="Times New Roman" w:cs="Times New Roman" w:hint="default"/>
      <w:strike w:val="0"/>
      <w:dstrike w:val="0"/>
      <w:color w:val="auto"/>
      <w:sz w:val="20"/>
      <w:u w:val="none"/>
      <w:effect w:val="none"/>
      <w:vertAlign w:val="superscript"/>
    </w:rPr>
  </w:style>
  <w:style w:type="paragraph" w:styleId="ListParagraph">
    <w:name w:val="List Paragraph"/>
    <w:basedOn w:val="Normal"/>
    <w:uiPriority w:val="34"/>
    <w:qFormat/>
    <w:rsid w:val="00303C2D"/>
    <w:pPr>
      <w:widowControl/>
      <w:ind w:left="720"/>
      <w:contextualSpacing/>
    </w:pPr>
    <w:rPr>
      <w:rFonts w:ascii="Garamond" w:hAnsi="Garamond"/>
      <w:snapToGrid/>
      <w:kern w:val="0"/>
      <w:sz w:val="20"/>
      <w:szCs w:val="24"/>
    </w:rPr>
  </w:style>
  <w:style w:type="character" w:styleId="Hyperlink">
    <w:name w:val="Hyperlink"/>
    <w:basedOn w:val="DefaultParagraphFont"/>
    <w:uiPriority w:val="99"/>
    <w:unhideWhenUsed/>
    <w:rsid w:val="00143843"/>
    <w:rPr>
      <w:color w:val="0000FF" w:themeColor="hyperlink"/>
      <w:u w:val="single"/>
    </w:rPr>
  </w:style>
  <w:style w:type="paragraph" w:styleId="Header">
    <w:name w:val="header"/>
    <w:basedOn w:val="Normal"/>
    <w:link w:val="HeaderChar"/>
    <w:uiPriority w:val="99"/>
    <w:unhideWhenUsed/>
    <w:rsid w:val="00A61DEE"/>
    <w:pPr>
      <w:tabs>
        <w:tab w:val="center" w:pos="4680"/>
        <w:tab w:val="right" w:pos="9360"/>
      </w:tabs>
    </w:pPr>
  </w:style>
  <w:style w:type="character" w:customStyle="1" w:styleId="HeaderChar">
    <w:name w:val="Header Char"/>
    <w:basedOn w:val="DefaultParagraphFont"/>
    <w:link w:val="Header"/>
    <w:uiPriority w:val="99"/>
    <w:rsid w:val="00A61DEE"/>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A61DEE"/>
    <w:pPr>
      <w:tabs>
        <w:tab w:val="center" w:pos="4680"/>
        <w:tab w:val="right" w:pos="9360"/>
      </w:tabs>
    </w:pPr>
  </w:style>
  <w:style w:type="character" w:customStyle="1" w:styleId="FooterChar">
    <w:name w:val="Footer Char"/>
    <w:basedOn w:val="DefaultParagraphFont"/>
    <w:link w:val="Footer"/>
    <w:uiPriority w:val="99"/>
    <w:rsid w:val="00A61DEE"/>
    <w:rPr>
      <w:rFonts w:ascii="Times New Roman" w:eastAsia="Times New Roman" w:hAnsi="Times New Roman" w:cs="Times New Roman"/>
      <w:snapToGrid w:val="0"/>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F3"/>
    <w:pPr>
      <w:widowControl w:val="0"/>
      <w:spacing w:after="0" w:line="240" w:lineRule="auto"/>
    </w:pPr>
    <w:rPr>
      <w:rFonts w:ascii="Times New Roman" w:eastAsia="Times New Roman" w:hAnsi="Times New Roman" w:cs="Times New Roman"/>
      <w:snapToGrid w:val="0"/>
      <w:kern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015FF3"/>
    <w:pPr>
      <w:tabs>
        <w:tab w:val="right" w:pos="9360"/>
      </w:tabs>
      <w:suppressAutoHyphens/>
    </w:pPr>
  </w:style>
  <w:style w:type="paragraph" w:customStyle="1" w:styleId="StyleBoldCentered">
    <w:name w:val="Style Bold Centered"/>
    <w:basedOn w:val="Normal"/>
    <w:rsid w:val="00015FF3"/>
    <w:pPr>
      <w:jc w:val="center"/>
    </w:pPr>
    <w:rPr>
      <w:rFonts w:ascii="Times New Roman Bold" w:hAnsi="Times New Roman Bold"/>
      <w:b/>
      <w:bCs/>
      <w:caps/>
      <w:szCs w:val="22"/>
    </w:rPr>
  </w:style>
  <w:style w:type="paragraph" w:styleId="BalloonText">
    <w:name w:val="Balloon Text"/>
    <w:basedOn w:val="Normal"/>
    <w:link w:val="BalloonTextChar"/>
    <w:uiPriority w:val="99"/>
    <w:semiHidden/>
    <w:unhideWhenUsed/>
    <w:rsid w:val="00015FF3"/>
    <w:rPr>
      <w:rFonts w:ascii="Tahoma" w:hAnsi="Tahoma" w:cs="Tahoma"/>
      <w:sz w:val="16"/>
      <w:szCs w:val="16"/>
    </w:rPr>
  </w:style>
  <w:style w:type="character" w:customStyle="1" w:styleId="BalloonTextChar">
    <w:name w:val="Balloon Text Char"/>
    <w:basedOn w:val="DefaultParagraphFont"/>
    <w:link w:val="BalloonText"/>
    <w:uiPriority w:val="99"/>
    <w:semiHidden/>
    <w:rsid w:val="00015FF3"/>
    <w:rPr>
      <w:rFonts w:ascii="Tahoma" w:eastAsia="Times New Roman" w:hAnsi="Tahoma" w:cs="Tahoma"/>
      <w:snapToGrid w:val="0"/>
      <w:kern w:val="28"/>
      <w:sz w:val="16"/>
      <w:szCs w:val="16"/>
    </w:rPr>
  </w:style>
  <w:style w:type="paragraph" w:styleId="FootnoteText">
    <w:name w:val="footnote text"/>
    <w:basedOn w:val="Normal"/>
    <w:link w:val="FootnoteTextChar"/>
    <w:uiPriority w:val="99"/>
    <w:semiHidden/>
    <w:unhideWhenUsed/>
    <w:rsid w:val="009E104F"/>
    <w:rPr>
      <w:sz w:val="20"/>
    </w:rPr>
  </w:style>
  <w:style w:type="character" w:customStyle="1" w:styleId="FootnoteTextChar">
    <w:name w:val="Footnote Text Char"/>
    <w:basedOn w:val="DefaultParagraphFont"/>
    <w:link w:val="FootnoteText"/>
    <w:uiPriority w:val="99"/>
    <w:semiHidden/>
    <w:rsid w:val="009E104F"/>
    <w:rPr>
      <w:rFonts w:ascii="Times New Roman" w:eastAsia="Times New Roman" w:hAnsi="Times New Roman" w:cs="Times New Roman"/>
      <w:snapToGrid w:val="0"/>
      <w:kern w:val="28"/>
      <w:sz w:val="20"/>
      <w:szCs w:val="20"/>
    </w:rPr>
  </w:style>
  <w:style w:type="character" w:styleId="FootnoteReference">
    <w:name w:val="footnote reference"/>
    <w:aliases w:val="(NECG) Footnote Reference,o,fr,Style 3,Appel note de bas de p,Style 12,Style 124,Style 13,FR,Style 17,Style 6,Footnote Reference/"/>
    <w:semiHidden/>
    <w:unhideWhenUsed/>
    <w:rsid w:val="009E104F"/>
    <w:rPr>
      <w:rFonts w:ascii="Times New Roman" w:hAnsi="Times New Roman" w:cs="Times New Roman" w:hint="default"/>
      <w:strike w:val="0"/>
      <w:dstrike w:val="0"/>
      <w:color w:val="auto"/>
      <w:sz w:val="20"/>
      <w:u w:val="none"/>
      <w:effect w:val="none"/>
      <w:vertAlign w:val="superscript"/>
    </w:rPr>
  </w:style>
  <w:style w:type="paragraph" w:styleId="ListParagraph">
    <w:name w:val="List Paragraph"/>
    <w:basedOn w:val="Normal"/>
    <w:uiPriority w:val="34"/>
    <w:qFormat/>
    <w:rsid w:val="00303C2D"/>
    <w:pPr>
      <w:widowControl/>
      <w:ind w:left="720"/>
      <w:contextualSpacing/>
    </w:pPr>
    <w:rPr>
      <w:rFonts w:ascii="Garamond" w:hAnsi="Garamond"/>
      <w:snapToGrid/>
      <w:kern w:val="0"/>
      <w:sz w:val="20"/>
      <w:szCs w:val="24"/>
    </w:rPr>
  </w:style>
  <w:style w:type="character" w:styleId="Hyperlink">
    <w:name w:val="Hyperlink"/>
    <w:basedOn w:val="DefaultParagraphFont"/>
    <w:uiPriority w:val="99"/>
    <w:unhideWhenUsed/>
    <w:rsid w:val="00143843"/>
    <w:rPr>
      <w:color w:val="0000FF" w:themeColor="hyperlink"/>
      <w:u w:val="single"/>
    </w:rPr>
  </w:style>
  <w:style w:type="paragraph" w:styleId="Header">
    <w:name w:val="header"/>
    <w:basedOn w:val="Normal"/>
    <w:link w:val="HeaderChar"/>
    <w:uiPriority w:val="99"/>
    <w:unhideWhenUsed/>
    <w:rsid w:val="00A61DEE"/>
    <w:pPr>
      <w:tabs>
        <w:tab w:val="center" w:pos="4680"/>
        <w:tab w:val="right" w:pos="9360"/>
      </w:tabs>
    </w:pPr>
  </w:style>
  <w:style w:type="character" w:customStyle="1" w:styleId="HeaderChar">
    <w:name w:val="Header Char"/>
    <w:basedOn w:val="DefaultParagraphFont"/>
    <w:link w:val="Header"/>
    <w:uiPriority w:val="99"/>
    <w:rsid w:val="00A61DEE"/>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A61DEE"/>
    <w:pPr>
      <w:tabs>
        <w:tab w:val="center" w:pos="4680"/>
        <w:tab w:val="right" w:pos="9360"/>
      </w:tabs>
    </w:pPr>
  </w:style>
  <w:style w:type="character" w:customStyle="1" w:styleId="FooterChar">
    <w:name w:val="Footer Char"/>
    <w:basedOn w:val="DefaultParagraphFont"/>
    <w:link w:val="Footer"/>
    <w:uiPriority w:val="99"/>
    <w:rsid w:val="00A61DEE"/>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15908">
      <w:bodyDiv w:val="1"/>
      <w:marLeft w:val="0"/>
      <w:marRight w:val="0"/>
      <w:marTop w:val="0"/>
      <w:marBottom w:val="0"/>
      <w:divBdr>
        <w:top w:val="none" w:sz="0" w:space="0" w:color="auto"/>
        <w:left w:val="none" w:sz="0" w:space="0" w:color="auto"/>
        <w:bottom w:val="none" w:sz="0" w:space="0" w:color="auto"/>
        <w:right w:val="none" w:sz="0" w:space="0" w:color="auto"/>
      </w:divBdr>
      <w:divsChild>
        <w:div w:id="8041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lena.mitchell@cacp.gatech.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relessrerc.gatech.edu/sites/default/files/publications/Research_Brief_Tech_Hearing_and_Speech_Loss_911_2013-04-04_Final%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FC1E-4A44-4205-9710-0FBF16D5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Salimah LaForce</cp:lastModifiedBy>
  <cp:revision>9</cp:revision>
  <cp:lastPrinted>2014-05-05T19:06:00Z</cp:lastPrinted>
  <dcterms:created xsi:type="dcterms:W3CDTF">2014-05-05T13:41:00Z</dcterms:created>
  <dcterms:modified xsi:type="dcterms:W3CDTF">2014-05-05T20:59:00Z</dcterms:modified>
</cp:coreProperties>
</file>